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495D" w14:textId="77777777" w:rsidR="00ED2841" w:rsidRDefault="00ED2841" w:rsidP="008815EB">
      <w:pPr>
        <w:suppressAutoHyphens w:val="0"/>
        <w:snapToGrid w:val="0"/>
        <w:spacing w:after="120"/>
        <w:jc w:val="both"/>
        <w:rPr>
          <w:rFonts w:ascii="Times New Roman" w:hAnsi="Times New Roman"/>
          <w:bCs/>
          <w:color w:val="000000"/>
          <w:sz w:val="24"/>
          <w:szCs w:val="24"/>
          <w:lang w:eastAsia="pt-BR"/>
        </w:rPr>
      </w:pPr>
    </w:p>
    <w:p w14:paraId="1A14A40F" w14:textId="426ABA0E" w:rsidR="00ED2841" w:rsidRPr="00ED2841" w:rsidRDefault="00ED2841" w:rsidP="00ED2841">
      <w:pPr>
        <w:spacing w:after="120"/>
        <w:jc w:val="both"/>
        <w:rPr>
          <w:rFonts w:ascii="Times New Roman" w:hAnsi="Times New Roman"/>
          <w:b/>
          <w:sz w:val="24"/>
          <w:szCs w:val="24"/>
        </w:rPr>
      </w:pPr>
      <w:r>
        <w:rPr>
          <w:rFonts w:ascii="Times New Roman" w:hAnsi="Times New Roman"/>
          <w:b/>
          <w:sz w:val="24"/>
          <w:szCs w:val="24"/>
        </w:rPr>
        <w:t xml:space="preserve">   </w:t>
      </w:r>
      <w:r w:rsidRPr="00ED2841">
        <w:rPr>
          <w:rFonts w:ascii="Times New Roman" w:hAnsi="Times New Roman"/>
          <w:b/>
          <w:sz w:val="24"/>
          <w:szCs w:val="24"/>
        </w:rPr>
        <w:t>Parecer Técnico nº 01/2017/</w:t>
      </w:r>
      <w:r w:rsidR="003D144E">
        <w:rPr>
          <w:rFonts w:ascii="Times New Roman" w:hAnsi="Times New Roman"/>
          <w:b/>
          <w:sz w:val="24"/>
          <w:szCs w:val="24"/>
        </w:rPr>
        <w:t>GT-RSB</w:t>
      </w:r>
      <w:r w:rsidRPr="00ED2841">
        <w:rPr>
          <w:rFonts w:ascii="Times New Roman" w:hAnsi="Times New Roman"/>
          <w:b/>
          <w:sz w:val="24"/>
          <w:szCs w:val="24"/>
        </w:rPr>
        <w:t>/CTAP/CNRH/MMA</w:t>
      </w:r>
    </w:p>
    <w:p w14:paraId="24E6898D" w14:textId="77777777" w:rsidR="00ED2841" w:rsidRPr="00ED2841" w:rsidRDefault="00ED2841" w:rsidP="00ED2841">
      <w:pPr>
        <w:spacing w:after="120"/>
        <w:rPr>
          <w:rFonts w:ascii="Times New Roman" w:hAnsi="Times New Roman"/>
          <w:sz w:val="24"/>
          <w:szCs w:val="24"/>
        </w:rPr>
      </w:pPr>
    </w:p>
    <w:tbl>
      <w:tblPr>
        <w:tblW w:w="8680" w:type="dxa"/>
        <w:tblInd w:w="108" w:type="dxa"/>
        <w:tblLayout w:type="fixed"/>
        <w:tblLook w:val="0000" w:firstRow="0" w:lastRow="0" w:firstColumn="0" w:lastColumn="0" w:noHBand="0" w:noVBand="0"/>
      </w:tblPr>
      <w:tblGrid>
        <w:gridCol w:w="1168"/>
        <w:gridCol w:w="7512"/>
      </w:tblGrid>
      <w:tr w:rsidR="00ED2841" w:rsidRPr="00ED2841" w14:paraId="6CDCFD53" w14:textId="77777777" w:rsidTr="00ED2841">
        <w:tc>
          <w:tcPr>
            <w:tcW w:w="1168" w:type="dxa"/>
          </w:tcPr>
          <w:p w14:paraId="3B379F3E" w14:textId="3805BBED" w:rsidR="00ED2841" w:rsidRPr="00ED2841" w:rsidRDefault="00ED2841" w:rsidP="00ED2841">
            <w:pPr>
              <w:snapToGrid w:val="0"/>
              <w:spacing w:after="120"/>
              <w:rPr>
                <w:rFonts w:ascii="Times New Roman" w:hAnsi="Times New Roman"/>
                <w:b/>
                <w:sz w:val="24"/>
                <w:szCs w:val="24"/>
              </w:rPr>
            </w:pPr>
            <w:r w:rsidRPr="00ED2841">
              <w:rPr>
                <w:rFonts w:ascii="Times New Roman" w:hAnsi="Times New Roman"/>
                <w:b/>
                <w:sz w:val="24"/>
                <w:szCs w:val="24"/>
              </w:rPr>
              <w:t>Assunto:</w:t>
            </w:r>
          </w:p>
        </w:tc>
        <w:tc>
          <w:tcPr>
            <w:tcW w:w="7512" w:type="dxa"/>
          </w:tcPr>
          <w:p w14:paraId="5FE4F021" w14:textId="77777777" w:rsidR="00ED2841" w:rsidRPr="00ED2841" w:rsidRDefault="00ED2841" w:rsidP="00ED2841">
            <w:pPr>
              <w:snapToGrid w:val="0"/>
              <w:spacing w:after="120"/>
              <w:ind w:left="453"/>
              <w:jc w:val="both"/>
              <w:rPr>
                <w:rFonts w:ascii="Times New Roman" w:hAnsi="Times New Roman"/>
                <w:sz w:val="24"/>
                <w:szCs w:val="24"/>
              </w:rPr>
            </w:pPr>
            <w:r w:rsidRPr="00ED2841">
              <w:rPr>
                <w:rFonts w:ascii="Times New Roman" w:hAnsi="Times New Roman"/>
                <w:sz w:val="24"/>
                <w:szCs w:val="24"/>
              </w:rPr>
              <w:t>Avaliação do Relatório de Segurança de Barragens 2016, elaborado pela Agência Nacional de Águas – ANA.</w:t>
            </w:r>
          </w:p>
        </w:tc>
      </w:tr>
    </w:tbl>
    <w:p w14:paraId="5BC68CA4" w14:textId="7085988E" w:rsidR="00ED2841" w:rsidRDefault="00ED2841" w:rsidP="00ED2841">
      <w:pPr>
        <w:suppressAutoHyphens w:val="0"/>
        <w:snapToGrid w:val="0"/>
        <w:spacing w:after="120"/>
        <w:jc w:val="both"/>
        <w:rPr>
          <w:rFonts w:ascii="Times New Roman" w:hAnsi="Times New Roman"/>
          <w:bCs/>
          <w:color w:val="000000"/>
          <w:sz w:val="24"/>
          <w:szCs w:val="24"/>
          <w:lang w:eastAsia="pt-BR"/>
        </w:rPr>
      </w:pPr>
    </w:p>
    <w:p w14:paraId="1AFE57CD" w14:textId="77777777" w:rsidR="00ED2841" w:rsidRDefault="00ED2841" w:rsidP="00ED2841">
      <w:pPr>
        <w:suppressAutoHyphens w:val="0"/>
        <w:snapToGrid w:val="0"/>
        <w:spacing w:after="120"/>
        <w:jc w:val="both"/>
        <w:rPr>
          <w:rFonts w:ascii="Times New Roman" w:hAnsi="Times New Roman"/>
          <w:b/>
          <w:bCs/>
          <w:color w:val="000000"/>
          <w:sz w:val="24"/>
          <w:szCs w:val="24"/>
          <w:lang w:eastAsia="pt-BR"/>
        </w:rPr>
      </w:pPr>
    </w:p>
    <w:p w14:paraId="269E88B0" w14:textId="61CBB34E" w:rsidR="00ED2841" w:rsidRPr="0030600C" w:rsidRDefault="00ED2841" w:rsidP="00ED2841">
      <w:pPr>
        <w:suppressAutoHyphens w:val="0"/>
        <w:snapToGrid w:val="0"/>
        <w:spacing w:after="120"/>
        <w:jc w:val="both"/>
        <w:rPr>
          <w:rFonts w:ascii="Times New Roman" w:hAnsi="Times New Roman"/>
          <w:b/>
          <w:bCs/>
          <w:color w:val="000000"/>
          <w:sz w:val="24"/>
          <w:szCs w:val="24"/>
          <w:lang w:eastAsia="pt-BR"/>
        </w:rPr>
      </w:pPr>
      <w:r w:rsidRPr="00ED2841">
        <w:rPr>
          <w:rFonts w:ascii="Times New Roman" w:hAnsi="Times New Roman"/>
          <w:b/>
          <w:bCs/>
          <w:color w:val="000000"/>
          <w:sz w:val="24"/>
          <w:szCs w:val="24"/>
          <w:lang w:eastAsia="pt-BR"/>
        </w:rPr>
        <w:t>I — I</w:t>
      </w:r>
      <w:r>
        <w:rPr>
          <w:rFonts w:ascii="Times New Roman" w:hAnsi="Times New Roman"/>
          <w:b/>
          <w:bCs/>
          <w:color w:val="000000"/>
          <w:sz w:val="24"/>
          <w:szCs w:val="24"/>
          <w:lang w:eastAsia="pt-BR"/>
        </w:rPr>
        <w:t>NTRODUÇÃO</w:t>
      </w:r>
    </w:p>
    <w:p w14:paraId="025613FF" w14:textId="77777777" w:rsidR="0030600C" w:rsidRDefault="0030600C" w:rsidP="00ED2841">
      <w:pPr>
        <w:suppressAutoHyphens w:val="0"/>
        <w:snapToGrid w:val="0"/>
        <w:spacing w:after="120"/>
        <w:jc w:val="both"/>
        <w:rPr>
          <w:rFonts w:ascii="Times New Roman" w:hAnsi="Times New Roman"/>
          <w:bCs/>
          <w:color w:val="000000"/>
          <w:sz w:val="24"/>
          <w:szCs w:val="24"/>
          <w:lang w:eastAsia="pt-BR"/>
        </w:rPr>
      </w:pPr>
    </w:p>
    <w:p w14:paraId="5AB54331" w14:textId="6B0E698F" w:rsidR="008815EB" w:rsidRPr="00C24AD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500408">
        <w:rPr>
          <w:rFonts w:ascii="Times New Roman" w:hAnsi="Times New Roman"/>
          <w:bCs/>
          <w:color w:val="000000"/>
          <w:sz w:val="24"/>
          <w:szCs w:val="24"/>
          <w:lang w:eastAsia="pt-BR"/>
        </w:rPr>
        <w:t xml:space="preserve">A Lei </w:t>
      </w:r>
      <w:r w:rsidRPr="00C24AD9">
        <w:rPr>
          <w:rFonts w:ascii="Times New Roman" w:hAnsi="Times New Roman"/>
          <w:bCs/>
          <w:color w:val="000000"/>
          <w:sz w:val="24"/>
          <w:szCs w:val="24"/>
          <w:lang w:eastAsia="pt-BR"/>
        </w:rPr>
        <w:t>n</w:t>
      </w:r>
      <w:r>
        <w:rPr>
          <w:rFonts w:ascii="Times New Roman" w:hAnsi="Times New Roman"/>
          <w:bCs/>
          <w:color w:val="000000"/>
          <w:sz w:val="24"/>
          <w:szCs w:val="24"/>
          <w:lang w:eastAsia="pt-BR"/>
        </w:rPr>
        <w:t>º</w:t>
      </w:r>
      <w:r w:rsidRPr="00500408">
        <w:rPr>
          <w:rFonts w:ascii="Times New Roman" w:hAnsi="Times New Roman"/>
          <w:bCs/>
          <w:color w:val="000000"/>
          <w:sz w:val="24"/>
          <w:szCs w:val="24"/>
          <w:lang w:eastAsia="pt-BR"/>
        </w:rPr>
        <w:t xml:space="preserve"> 12.334, de 20 de setembro de 2010, e</w:t>
      </w:r>
      <w:r w:rsidRPr="00C24AD9">
        <w:rPr>
          <w:rFonts w:ascii="Times New Roman" w:hAnsi="Times New Roman"/>
          <w:bCs/>
          <w:color w:val="000000"/>
          <w:sz w:val="24"/>
          <w:szCs w:val="24"/>
          <w:lang w:eastAsia="pt-BR"/>
        </w:rPr>
        <w:t>stabelece a Política Nacional de Segurança de Barragens (PNSB), cria o Sistema Nacional de Informações sobre Segurança de Barragens (SNISB) e altera a redação do art. 35 da Lei n</w:t>
      </w:r>
      <w:r>
        <w:rPr>
          <w:rFonts w:ascii="Times New Roman" w:hAnsi="Times New Roman"/>
          <w:bCs/>
          <w:color w:val="000000"/>
          <w:sz w:val="24"/>
          <w:szCs w:val="24"/>
          <w:lang w:eastAsia="pt-BR"/>
        </w:rPr>
        <w:t>º</w:t>
      </w:r>
      <w:r w:rsidRPr="00C24AD9">
        <w:rPr>
          <w:rFonts w:ascii="Times New Roman" w:hAnsi="Times New Roman"/>
          <w:bCs/>
          <w:color w:val="000000"/>
          <w:sz w:val="24"/>
          <w:szCs w:val="24"/>
          <w:lang w:eastAsia="pt-BR"/>
        </w:rPr>
        <w:t xml:space="preserve"> 9.433, de 8 de janeiro de 1997, e do art. 4</w:t>
      </w:r>
      <w:r>
        <w:rPr>
          <w:rFonts w:ascii="Times New Roman" w:hAnsi="Times New Roman"/>
          <w:bCs/>
          <w:color w:val="000000"/>
          <w:sz w:val="24"/>
          <w:szCs w:val="24"/>
          <w:lang w:eastAsia="pt-BR"/>
        </w:rPr>
        <w:t>º</w:t>
      </w:r>
      <w:r w:rsidRPr="00C24AD9">
        <w:rPr>
          <w:rFonts w:ascii="Times New Roman" w:hAnsi="Times New Roman"/>
          <w:bCs/>
          <w:color w:val="000000"/>
          <w:sz w:val="24"/>
          <w:szCs w:val="24"/>
          <w:lang w:eastAsia="pt-BR"/>
        </w:rPr>
        <w:t xml:space="preserve"> da Lei n</w:t>
      </w:r>
      <w:r>
        <w:rPr>
          <w:rFonts w:ascii="Times New Roman" w:hAnsi="Times New Roman"/>
          <w:bCs/>
          <w:color w:val="000000"/>
          <w:sz w:val="24"/>
          <w:szCs w:val="24"/>
          <w:lang w:eastAsia="pt-BR"/>
        </w:rPr>
        <w:t>º</w:t>
      </w:r>
      <w:r w:rsidRPr="00C24AD9">
        <w:rPr>
          <w:rFonts w:ascii="Times New Roman" w:hAnsi="Times New Roman"/>
          <w:bCs/>
          <w:color w:val="000000"/>
          <w:sz w:val="24"/>
          <w:szCs w:val="24"/>
          <w:lang w:eastAsia="pt-BR"/>
        </w:rPr>
        <w:t xml:space="preserve"> 9.984, de 17 de julho de 2000.</w:t>
      </w:r>
    </w:p>
    <w:p w14:paraId="76DF832B"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Essa Lei aplica-se a barragens destinadas à acumulação de água para quaisquer usos, à disposição final ou temporária de rejeitos e à acumulação de resíduos industriais que apresentem pelo menos uma das seguintes características: </w:t>
      </w:r>
    </w:p>
    <w:p w14:paraId="77B7F6B0" w14:textId="77777777" w:rsidR="008815EB" w:rsidRPr="00AC03B0" w:rsidRDefault="008815EB" w:rsidP="0030600C">
      <w:pPr>
        <w:numPr>
          <w:ilvl w:val="0"/>
          <w:numId w:val="2"/>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altura</w:t>
      </w:r>
      <w:proofErr w:type="gramEnd"/>
      <w:r w:rsidRPr="00AC03B0">
        <w:rPr>
          <w:rFonts w:ascii="Times New Roman" w:eastAsia="MS PGothic" w:hAnsi="Times New Roman"/>
          <w:color w:val="000000"/>
          <w:sz w:val="24"/>
          <w:szCs w:val="24"/>
          <w:lang w:eastAsia="ja-JP"/>
        </w:rPr>
        <w:t xml:space="preserve"> do maciço, contada do ponto mais baixo da fundação à crista, maior ou igual a 15m (quinze metros); </w:t>
      </w:r>
    </w:p>
    <w:p w14:paraId="677FB7B2" w14:textId="77777777" w:rsidR="008815EB" w:rsidRPr="00AC03B0" w:rsidRDefault="008815EB" w:rsidP="0030600C">
      <w:pPr>
        <w:numPr>
          <w:ilvl w:val="0"/>
          <w:numId w:val="2"/>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capacidade</w:t>
      </w:r>
      <w:proofErr w:type="gramEnd"/>
      <w:r w:rsidRPr="00AC03B0">
        <w:rPr>
          <w:rFonts w:ascii="Times New Roman" w:eastAsia="MS PGothic" w:hAnsi="Times New Roman"/>
          <w:color w:val="000000"/>
          <w:sz w:val="24"/>
          <w:szCs w:val="24"/>
          <w:lang w:eastAsia="ja-JP"/>
        </w:rPr>
        <w:t xml:space="preserve"> total do reservatório maior ou igual a 3.000.000m³ (três milhões de metros cúbicos); </w:t>
      </w:r>
    </w:p>
    <w:p w14:paraId="29B707F3" w14:textId="77777777" w:rsidR="008815EB" w:rsidRPr="00AC03B0" w:rsidRDefault="008815EB" w:rsidP="0030600C">
      <w:pPr>
        <w:numPr>
          <w:ilvl w:val="0"/>
          <w:numId w:val="2"/>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reservatório</w:t>
      </w:r>
      <w:proofErr w:type="gramEnd"/>
      <w:r w:rsidRPr="00AC03B0">
        <w:rPr>
          <w:rFonts w:ascii="Times New Roman" w:eastAsia="MS PGothic" w:hAnsi="Times New Roman"/>
          <w:color w:val="000000"/>
          <w:sz w:val="24"/>
          <w:szCs w:val="24"/>
          <w:lang w:eastAsia="ja-JP"/>
        </w:rPr>
        <w:t xml:space="preserve"> que contenha resíduos perigosos conforme normas técnicas aplicáveis; </w:t>
      </w:r>
      <w:r>
        <w:rPr>
          <w:rFonts w:ascii="Times New Roman" w:eastAsia="MS PGothic" w:hAnsi="Times New Roman"/>
          <w:color w:val="000000"/>
          <w:sz w:val="24"/>
          <w:szCs w:val="24"/>
          <w:lang w:eastAsia="ja-JP"/>
        </w:rPr>
        <w:t>ou</w:t>
      </w:r>
    </w:p>
    <w:p w14:paraId="6DB8B869" w14:textId="00357181" w:rsidR="008815EB" w:rsidRDefault="008815EB" w:rsidP="0030600C">
      <w:pPr>
        <w:numPr>
          <w:ilvl w:val="0"/>
          <w:numId w:val="2"/>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categoria</w:t>
      </w:r>
      <w:proofErr w:type="gramEnd"/>
      <w:r w:rsidRPr="00AC03B0">
        <w:rPr>
          <w:rFonts w:ascii="Times New Roman" w:eastAsia="MS PGothic" w:hAnsi="Times New Roman"/>
          <w:color w:val="000000"/>
          <w:sz w:val="24"/>
          <w:szCs w:val="24"/>
          <w:lang w:eastAsia="ja-JP"/>
        </w:rPr>
        <w:t xml:space="preserve"> de dano potencial associado, médio ou alto, em termos econômicos, sociais, ambientais ou de perda de vidas humanas, conforme definido no art. 6º da Lei.</w:t>
      </w:r>
    </w:p>
    <w:p w14:paraId="62878AC1"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O art. 20 d</w:t>
      </w:r>
      <w:r w:rsidRPr="00C84B29">
        <w:rPr>
          <w:rFonts w:ascii="Times New Roman" w:hAnsi="Times New Roman"/>
          <w:bCs/>
          <w:color w:val="000000"/>
          <w:sz w:val="24"/>
          <w:szCs w:val="24"/>
          <w:lang w:eastAsia="pt-BR"/>
        </w:rPr>
        <w:t xml:space="preserve">a </w:t>
      </w:r>
      <w:r w:rsidRPr="00500408">
        <w:rPr>
          <w:rFonts w:ascii="Times New Roman" w:hAnsi="Times New Roman"/>
          <w:bCs/>
          <w:color w:val="000000"/>
          <w:sz w:val="24"/>
          <w:szCs w:val="24"/>
          <w:lang w:eastAsia="pt-BR"/>
        </w:rPr>
        <w:t xml:space="preserve">Lei </w:t>
      </w:r>
      <w:r w:rsidRPr="00C84B29">
        <w:rPr>
          <w:rFonts w:ascii="Times New Roman" w:hAnsi="Times New Roman"/>
          <w:bCs/>
          <w:color w:val="000000"/>
          <w:sz w:val="24"/>
          <w:szCs w:val="24"/>
          <w:lang w:eastAsia="pt-BR"/>
        </w:rPr>
        <w:t>n</w:t>
      </w:r>
      <w:r>
        <w:rPr>
          <w:rFonts w:ascii="Times New Roman" w:hAnsi="Times New Roman"/>
          <w:bCs/>
          <w:color w:val="000000"/>
          <w:sz w:val="24"/>
          <w:szCs w:val="24"/>
          <w:lang w:eastAsia="pt-BR"/>
        </w:rPr>
        <w:t>º</w:t>
      </w:r>
      <w:r w:rsidRPr="00500408">
        <w:rPr>
          <w:rFonts w:ascii="Times New Roman" w:hAnsi="Times New Roman"/>
          <w:bCs/>
          <w:color w:val="000000"/>
          <w:sz w:val="24"/>
          <w:szCs w:val="24"/>
          <w:lang w:eastAsia="pt-BR"/>
        </w:rPr>
        <w:t xml:space="preserve"> 12.334</w:t>
      </w:r>
      <w:r>
        <w:rPr>
          <w:rFonts w:ascii="Times New Roman" w:hAnsi="Times New Roman"/>
          <w:bCs/>
          <w:color w:val="000000"/>
          <w:sz w:val="24"/>
          <w:szCs w:val="24"/>
          <w:lang w:eastAsia="pt-BR"/>
        </w:rPr>
        <w:t>, de 2010</w:t>
      </w:r>
      <w:r w:rsidRPr="00500408">
        <w:rPr>
          <w:rFonts w:ascii="Times New Roman" w:hAnsi="Times New Roman"/>
          <w:bCs/>
          <w:color w:val="000000"/>
          <w:sz w:val="24"/>
          <w:szCs w:val="24"/>
          <w:lang w:eastAsia="pt-BR"/>
        </w:rPr>
        <w:t xml:space="preserve">, </w:t>
      </w:r>
      <w:r>
        <w:rPr>
          <w:rFonts w:ascii="Times New Roman" w:hAnsi="Times New Roman"/>
          <w:bCs/>
          <w:color w:val="000000"/>
          <w:sz w:val="24"/>
          <w:szCs w:val="24"/>
          <w:lang w:eastAsia="pt-BR"/>
        </w:rPr>
        <w:t>modificou o</w:t>
      </w:r>
      <w:r w:rsidRPr="00500408">
        <w:rPr>
          <w:rFonts w:ascii="Times New Roman" w:hAnsi="Times New Roman"/>
          <w:bCs/>
          <w:color w:val="000000"/>
          <w:sz w:val="24"/>
          <w:szCs w:val="24"/>
          <w:lang w:eastAsia="pt-BR"/>
        </w:rPr>
        <w:t xml:space="preserve"> art</w:t>
      </w:r>
      <w:r>
        <w:rPr>
          <w:rFonts w:ascii="Times New Roman" w:hAnsi="Times New Roman"/>
          <w:bCs/>
          <w:color w:val="000000"/>
          <w:sz w:val="24"/>
          <w:szCs w:val="24"/>
          <w:lang w:eastAsia="pt-BR"/>
        </w:rPr>
        <w:t>.</w:t>
      </w:r>
      <w:r w:rsidRPr="00500408">
        <w:rPr>
          <w:rFonts w:ascii="Times New Roman" w:hAnsi="Times New Roman"/>
          <w:bCs/>
          <w:color w:val="000000"/>
          <w:sz w:val="24"/>
          <w:szCs w:val="24"/>
          <w:lang w:eastAsia="pt-BR"/>
        </w:rPr>
        <w:t xml:space="preserve"> 35 da Lei 9</w:t>
      </w:r>
      <w:r>
        <w:rPr>
          <w:rFonts w:ascii="Times New Roman" w:hAnsi="Times New Roman"/>
          <w:bCs/>
          <w:color w:val="000000"/>
          <w:sz w:val="24"/>
          <w:szCs w:val="24"/>
          <w:lang w:eastAsia="pt-BR"/>
        </w:rPr>
        <w:t>.</w:t>
      </w:r>
      <w:r w:rsidRPr="00500408">
        <w:rPr>
          <w:rFonts w:ascii="Times New Roman" w:hAnsi="Times New Roman"/>
          <w:bCs/>
          <w:color w:val="000000"/>
          <w:sz w:val="24"/>
          <w:szCs w:val="24"/>
          <w:lang w:eastAsia="pt-BR"/>
        </w:rPr>
        <w:t>433</w:t>
      </w:r>
      <w:r>
        <w:rPr>
          <w:rFonts w:ascii="Times New Roman" w:hAnsi="Times New Roman"/>
          <w:bCs/>
          <w:color w:val="000000"/>
          <w:sz w:val="24"/>
          <w:szCs w:val="24"/>
          <w:lang w:eastAsia="pt-BR"/>
        </w:rPr>
        <w:t>, de 1997</w:t>
      </w:r>
      <w:r w:rsidRPr="00500408">
        <w:rPr>
          <w:rFonts w:ascii="Times New Roman" w:hAnsi="Times New Roman"/>
          <w:bCs/>
          <w:color w:val="000000"/>
          <w:sz w:val="24"/>
          <w:szCs w:val="24"/>
          <w:lang w:eastAsia="pt-BR"/>
        </w:rPr>
        <w:t xml:space="preserve">, </w:t>
      </w:r>
      <w:r>
        <w:rPr>
          <w:rFonts w:ascii="Times New Roman" w:hAnsi="Times New Roman"/>
          <w:bCs/>
          <w:color w:val="000000"/>
          <w:sz w:val="24"/>
          <w:szCs w:val="24"/>
          <w:lang w:eastAsia="pt-BR"/>
        </w:rPr>
        <w:t xml:space="preserve">incluindo as seguintes competências ao </w:t>
      </w:r>
      <w:r w:rsidRPr="00C84B29">
        <w:rPr>
          <w:rFonts w:ascii="Times New Roman" w:hAnsi="Times New Roman"/>
          <w:bCs/>
          <w:color w:val="000000"/>
          <w:sz w:val="24"/>
          <w:szCs w:val="24"/>
          <w:lang w:eastAsia="pt-BR"/>
        </w:rPr>
        <w:t xml:space="preserve">Conselho Nacional de Recursos Hídricos </w:t>
      </w:r>
      <w:r>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CNRH</w:t>
      </w:r>
      <w:r>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w:t>
      </w:r>
    </w:p>
    <w:p w14:paraId="04E2FCA3" w14:textId="77777777" w:rsidR="008815EB" w:rsidRPr="00AC03B0" w:rsidRDefault="008815EB" w:rsidP="0030600C">
      <w:pPr>
        <w:numPr>
          <w:ilvl w:val="0"/>
          <w:numId w:val="3"/>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zelar</w:t>
      </w:r>
      <w:proofErr w:type="gramEnd"/>
      <w:r w:rsidRPr="00AC03B0">
        <w:rPr>
          <w:rFonts w:ascii="Times New Roman" w:eastAsia="MS PGothic" w:hAnsi="Times New Roman"/>
          <w:color w:val="000000"/>
          <w:sz w:val="24"/>
          <w:szCs w:val="24"/>
          <w:lang w:eastAsia="ja-JP"/>
        </w:rPr>
        <w:t xml:space="preserve"> pela implementação da Política Nacional de Segurança de Barragens (PNSB); </w:t>
      </w:r>
    </w:p>
    <w:p w14:paraId="1302A99F" w14:textId="77777777" w:rsidR="008815EB" w:rsidRPr="00AC03B0" w:rsidRDefault="008815EB" w:rsidP="0030600C">
      <w:pPr>
        <w:numPr>
          <w:ilvl w:val="0"/>
          <w:numId w:val="3"/>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estabelecer</w:t>
      </w:r>
      <w:proofErr w:type="gramEnd"/>
      <w:r w:rsidRPr="00AC03B0">
        <w:rPr>
          <w:rFonts w:ascii="Times New Roman" w:eastAsia="MS PGothic" w:hAnsi="Times New Roman"/>
          <w:color w:val="000000"/>
          <w:sz w:val="24"/>
          <w:szCs w:val="24"/>
          <w:lang w:eastAsia="ja-JP"/>
        </w:rPr>
        <w:t xml:space="preserve"> diretrizes para implementação da PNSB, aplicação de seus instrumentos e atuação do Sistema Nacional de Informações sobre Segurança de Barragens (SNISB);</w:t>
      </w:r>
      <w:r>
        <w:rPr>
          <w:rFonts w:ascii="Times New Roman" w:eastAsia="MS PGothic" w:hAnsi="Times New Roman"/>
          <w:color w:val="000000"/>
          <w:sz w:val="24"/>
          <w:szCs w:val="24"/>
          <w:lang w:eastAsia="ja-JP"/>
        </w:rPr>
        <w:t xml:space="preserve"> </w:t>
      </w:r>
      <w:r w:rsidRPr="00AC03B0">
        <w:rPr>
          <w:rFonts w:ascii="Times New Roman" w:eastAsia="MS PGothic" w:hAnsi="Times New Roman"/>
          <w:color w:val="000000"/>
          <w:sz w:val="24"/>
          <w:szCs w:val="24"/>
          <w:lang w:eastAsia="ja-JP"/>
        </w:rPr>
        <w:t xml:space="preserve"> </w:t>
      </w:r>
    </w:p>
    <w:p w14:paraId="6831F946" w14:textId="77777777" w:rsidR="008815EB" w:rsidRPr="00AC03B0" w:rsidRDefault="008815EB" w:rsidP="0030600C">
      <w:pPr>
        <w:numPr>
          <w:ilvl w:val="0"/>
          <w:numId w:val="3"/>
        </w:numPr>
        <w:suppressAutoHyphens w:val="0"/>
        <w:snapToGrid w:val="0"/>
        <w:spacing w:after="120"/>
        <w:ind w:left="113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lastRenderedPageBreak/>
        <w:t>apreciar</w:t>
      </w:r>
      <w:proofErr w:type="gramEnd"/>
      <w:r w:rsidRPr="00AC03B0">
        <w:rPr>
          <w:rFonts w:ascii="Times New Roman" w:eastAsia="MS PGothic" w:hAnsi="Times New Roman"/>
          <w:color w:val="000000"/>
          <w:sz w:val="24"/>
          <w:szCs w:val="24"/>
          <w:lang w:eastAsia="ja-JP"/>
        </w:rPr>
        <w:t xml:space="preserve"> o Relatório de Segurança de Barragens, fazendo, se necessário, recomendações para melhoria da segurança das obras, bem como encaminhá-lo ao Congresso Nacional.</w:t>
      </w:r>
    </w:p>
    <w:p w14:paraId="6034DB54"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O Relatório de Segurança de Barragens</w:t>
      </w:r>
      <w:r>
        <w:rPr>
          <w:rFonts w:ascii="Times New Roman" w:hAnsi="Times New Roman"/>
          <w:bCs/>
          <w:color w:val="000000"/>
          <w:sz w:val="24"/>
          <w:szCs w:val="24"/>
          <w:lang w:eastAsia="pt-BR"/>
        </w:rPr>
        <w:t xml:space="preserve"> (RSB)</w:t>
      </w:r>
      <w:r w:rsidRPr="00C84B29">
        <w:rPr>
          <w:rFonts w:ascii="Times New Roman" w:hAnsi="Times New Roman"/>
          <w:bCs/>
          <w:color w:val="000000"/>
          <w:sz w:val="24"/>
          <w:szCs w:val="24"/>
          <w:lang w:eastAsia="pt-BR"/>
        </w:rPr>
        <w:t xml:space="preserve"> é um dos instrumentos da </w:t>
      </w:r>
      <w:r>
        <w:rPr>
          <w:rFonts w:ascii="Times New Roman" w:hAnsi="Times New Roman"/>
          <w:bCs/>
          <w:color w:val="000000"/>
          <w:sz w:val="24"/>
          <w:szCs w:val="24"/>
          <w:lang w:eastAsia="pt-BR"/>
        </w:rPr>
        <w:t>PNSB.</w:t>
      </w:r>
      <w:r w:rsidRPr="00C84B29">
        <w:rPr>
          <w:rFonts w:ascii="Times New Roman" w:hAnsi="Times New Roman"/>
          <w:bCs/>
          <w:color w:val="000000"/>
          <w:sz w:val="24"/>
          <w:szCs w:val="24"/>
          <w:lang w:eastAsia="pt-BR"/>
        </w:rPr>
        <w:t xml:space="preserve"> </w:t>
      </w:r>
      <w:r>
        <w:rPr>
          <w:rFonts w:ascii="Times New Roman" w:hAnsi="Times New Roman"/>
          <w:bCs/>
          <w:color w:val="000000"/>
          <w:sz w:val="24"/>
          <w:szCs w:val="24"/>
          <w:lang w:eastAsia="pt-BR"/>
        </w:rPr>
        <w:t>A L</w:t>
      </w:r>
      <w:r w:rsidRPr="00C84B29">
        <w:rPr>
          <w:rFonts w:ascii="Times New Roman" w:hAnsi="Times New Roman"/>
          <w:bCs/>
          <w:color w:val="000000"/>
          <w:sz w:val="24"/>
          <w:szCs w:val="24"/>
          <w:lang w:eastAsia="pt-BR"/>
        </w:rPr>
        <w:t xml:space="preserve">ei determina ainda, </w:t>
      </w:r>
      <w:r>
        <w:rPr>
          <w:rFonts w:ascii="Times New Roman" w:hAnsi="Times New Roman"/>
          <w:bCs/>
          <w:color w:val="000000"/>
          <w:sz w:val="24"/>
          <w:szCs w:val="24"/>
          <w:lang w:eastAsia="pt-BR"/>
        </w:rPr>
        <w:t>em seu</w:t>
      </w:r>
      <w:r w:rsidRPr="00C84B29">
        <w:rPr>
          <w:rFonts w:ascii="Times New Roman" w:hAnsi="Times New Roman"/>
          <w:bCs/>
          <w:color w:val="000000"/>
          <w:sz w:val="24"/>
          <w:szCs w:val="24"/>
          <w:lang w:eastAsia="pt-BR"/>
        </w:rPr>
        <w:t xml:space="preserve"> art</w:t>
      </w:r>
      <w:r>
        <w:rPr>
          <w:rFonts w:ascii="Times New Roman" w:hAnsi="Times New Roman"/>
          <w:bCs/>
          <w:color w:val="000000"/>
          <w:sz w:val="24"/>
          <w:szCs w:val="24"/>
          <w:lang w:eastAsia="pt-BR"/>
        </w:rPr>
        <w:t>. 21, que cabe à</w:t>
      </w:r>
      <w:r w:rsidRPr="00C84B29">
        <w:rPr>
          <w:rFonts w:ascii="Times New Roman" w:hAnsi="Times New Roman"/>
          <w:bCs/>
          <w:color w:val="000000"/>
          <w:sz w:val="24"/>
          <w:szCs w:val="24"/>
          <w:lang w:eastAsia="pt-BR"/>
        </w:rPr>
        <w:t xml:space="preserve"> </w:t>
      </w:r>
      <w:r>
        <w:rPr>
          <w:rFonts w:ascii="Times New Roman" w:hAnsi="Times New Roman"/>
          <w:bCs/>
          <w:color w:val="000000"/>
          <w:sz w:val="24"/>
          <w:szCs w:val="24"/>
          <w:lang w:eastAsia="pt-BR"/>
        </w:rPr>
        <w:t xml:space="preserve">ANA </w:t>
      </w:r>
      <w:r w:rsidRPr="00C84B29">
        <w:rPr>
          <w:rFonts w:ascii="Times New Roman" w:hAnsi="Times New Roman"/>
          <w:bCs/>
          <w:color w:val="000000"/>
          <w:sz w:val="24"/>
          <w:szCs w:val="24"/>
          <w:lang w:eastAsia="pt-BR"/>
        </w:rPr>
        <w:t xml:space="preserve">a coordenação da elaboração do </w:t>
      </w:r>
      <w:r>
        <w:rPr>
          <w:rFonts w:ascii="Times New Roman" w:hAnsi="Times New Roman"/>
          <w:bCs/>
          <w:color w:val="000000"/>
          <w:sz w:val="24"/>
          <w:szCs w:val="24"/>
          <w:lang w:eastAsia="pt-BR"/>
        </w:rPr>
        <w:t xml:space="preserve">RSB, bem como o seu encaminhamento </w:t>
      </w:r>
      <w:r w:rsidRPr="00C84B29">
        <w:rPr>
          <w:rFonts w:ascii="Times New Roman" w:hAnsi="Times New Roman"/>
          <w:bCs/>
          <w:color w:val="000000"/>
          <w:sz w:val="24"/>
          <w:szCs w:val="24"/>
          <w:lang w:eastAsia="pt-BR"/>
        </w:rPr>
        <w:t xml:space="preserve">ao </w:t>
      </w:r>
      <w:r>
        <w:rPr>
          <w:rFonts w:ascii="Times New Roman" w:hAnsi="Times New Roman"/>
          <w:bCs/>
          <w:color w:val="000000"/>
          <w:sz w:val="24"/>
          <w:szCs w:val="24"/>
          <w:lang w:eastAsia="pt-BR"/>
        </w:rPr>
        <w:t>CNRH</w:t>
      </w:r>
      <w:r w:rsidRPr="00C84B29">
        <w:rPr>
          <w:rFonts w:ascii="Times New Roman" w:hAnsi="Times New Roman"/>
          <w:bCs/>
          <w:color w:val="000000"/>
          <w:sz w:val="24"/>
          <w:szCs w:val="24"/>
          <w:lang w:eastAsia="pt-BR"/>
        </w:rPr>
        <w:t xml:space="preserve"> de forma consolidada</w:t>
      </w:r>
      <w:r>
        <w:rPr>
          <w:rFonts w:ascii="Times New Roman" w:hAnsi="Times New Roman"/>
          <w:bCs/>
          <w:color w:val="000000"/>
          <w:sz w:val="24"/>
          <w:szCs w:val="24"/>
          <w:lang w:eastAsia="pt-BR"/>
        </w:rPr>
        <w:t>.</w:t>
      </w:r>
    </w:p>
    <w:p w14:paraId="66CF0ABE" w14:textId="77777777" w:rsidR="008815EB" w:rsidRPr="00AC03B0"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AC03B0">
        <w:rPr>
          <w:rFonts w:ascii="Times New Roman" w:hAnsi="Times New Roman"/>
          <w:bCs/>
          <w:color w:val="000000"/>
          <w:sz w:val="24"/>
          <w:szCs w:val="24"/>
          <w:lang w:eastAsia="pt-BR"/>
        </w:rPr>
        <w:t>A Resolução nº 144, de 10 de julho de 2012, do CNRH, estabelece diretrizes para implementação da PNSB, aplicação de seus instrumentos e atuação do SNISB, em atendimento ao art. 20 da Lei nº 12.334, de 2010, que alterou o art. 35 da Lei nº 9.433, de 1997.</w:t>
      </w:r>
      <w:r>
        <w:rPr>
          <w:rFonts w:ascii="Times New Roman" w:hAnsi="Times New Roman"/>
          <w:bCs/>
          <w:color w:val="000000"/>
          <w:sz w:val="24"/>
          <w:szCs w:val="24"/>
          <w:lang w:eastAsia="pt-BR"/>
        </w:rPr>
        <w:t xml:space="preserve"> Em seu art. 7º, a referida Resolução determina o conteúdo mínimo do RSB:</w:t>
      </w:r>
    </w:p>
    <w:p w14:paraId="2FDC0413" w14:textId="77777777" w:rsidR="008815EB"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Art. 7º O Relatório de Segurança de Barragens deverá conter, no mínimo, informações atualizadas sobre:</w:t>
      </w:r>
    </w:p>
    <w:p w14:paraId="269519B5" w14:textId="77777777" w:rsidR="008815EB" w:rsidRPr="002604E6"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 xml:space="preserve">I – </w:t>
      </w:r>
      <w:proofErr w:type="gramStart"/>
      <w:r w:rsidRPr="002604E6">
        <w:rPr>
          <w:rFonts w:ascii="Times New Roman" w:eastAsia="MS PGothic" w:hAnsi="Times New Roman"/>
          <w:color w:val="000000"/>
          <w:sz w:val="22"/>
          <w:szCs w:val="22"/>
          <w:lang w:eastAsia="ja-JP"/>
        </w:rPr>
        <w:t>os</w:t>
      </w:r>
      <w:proofErr w:type="gramEnd"/>
      <w:r w:rsidRPr="002604E6">
        <w:rPr>
          <w:rFonts w:ascii="Times New Roman" w:eastAsia="MS PGothic" w:hAnsi="Times New Roman"/>
          <w:color w:val="000000"/>
          <w:sz w:val="22"/>
          <w:szCs w:val="22"/>
          <w:lang w:eastAsia="ja-JP"/>
        </w:rPr>
        <w:t xml:space="preserve"> cadastros de barragens mantidos pelos órgãos fiscalizadores;</w:t>
      </w:r>
    </w:p>
    <w:p w14:paraId="4107EF33" w14:textId="77777777" w:rsidR="008815EB" w:rsidRPr="002604E6"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 xml:space="preserve">II – </w:t>
      </w:r>
      <w:proofErr w:type="gramStart"/>
      <w:r w:rsidRPr="002604E6">
        <w:rPr>
          <w:rFonts w:ascii="Times New Roman" w:eastAsia="MS PGothic" w:hAnsi="Times New Roman"/>
          <w:color w:val="000000"/>
          <w:sz w:val="22"/>
          <w:szCs w:val="22"/>
          <w:lang w:eastAsia="ja-JP"/>
        </w:rPr>
        <w:t>a</w:t>
      </w:r>
      <w:proofErr w:type="gramEnd"/>
      <w:r w:rsidRPr="002604E6">
        <w:rPr>
          <w:rFonts w:ascii="Times New Roman" w:eastAsia="MS PGothic" w:hAnsi="Times New Roman"/>
          <w:color w:val="000000"/>
          <w:sz w:val="22"/>
          <w:szCs w:val="22"/>
          <w:lang w:eastAsia="ja-JP"/>
        </w:rPr>
        <w:t xml:space="preserve"> implementação da Política Nacional de Segurança de Barragens;</w:t>
      </w:r>
    </w:p>
    <w:p w14:paraId="68704513" w14:textId="77777777" w:rsidR="008815EB" w:rsidRPr="002604E6"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III –</w:t>
      </w:r>
      <w:r>
        <w:rPr>
          <w:rFonts w:eastAsia="MS PGothic"/>
        </w:rPr>
        <w:t xml:space="preserve"> </w:t>
      </w:r>
      <w:r w:rsidRPr="002604E6">
        <w:rPr>
          <w:rFonts w:ascii="Times New Roman" w:eastAsia="MS PGothic" w:hAnsi="Times New Roman"/>
          <w:color w:val="000000"/>
          <w:sz w:val="22"/>
          <w:szCs w:val="22"/>
          <w:lang w:eastAsia="ja-JP"/>
        </w:rPr>
        <w:t>a relação das barragens que apresentem categoria de risco alto;</w:t>
      </w:r>
    </w:p>
    <w:p w14:paraId="3616EA08" w14:textId="77777777" w:rsidR="008815EB" w:rsidRPr="002604E6"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 xml:space="preserve">IV – </w:t>
      </w:r>
      <w:proofErr w:type="gramStart"/>
      <w:r w:rsidRPr="002604E6">
        <w:rPr>
          <w:rFonts w:ascii="Times New Roman" w:eastAsia="MS PGothic" w:hAnsi="Times New Roman"/>
          <w:color w:val="000000"/>
          <w:sz w:val="22"/>
          <w:szCs w:val="22"/>
          <w:lang w:eastAsia="ja-JP"/>
        </w:rPr>
        <w:t>as</w:t>
      </w:r>
      <w:proofErr w:type="gramEnd"/>
      <w:r w:rsidRPr="002604E6">
        <w:rPr>
          <w:rFonts w:ascii="Times New Roman" w:eastAsia="MS PGothic" w:hAnsi="Times New Roman"/>
          <w:color w:val="000000"/>
          <w:sz w:val="22"/>
          <w:szCs w:val="22"/>
          <w:lang w:eastAsia="ja-JP"/>
        </w:rPr>
        <w:t xml:space="preserve"> principais ações para melhoria da segurança de barragem implementadas pelos empreendedores;</w:t>
      </w:r>
    </w:p>
    <w:p w14:paraId="281CFF9D" w14:textId="77777777" w:rsidR="008815EB" w:rsidRPr="002604E6"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 xml:space="preserve">V – </w:t>
      </w:r>
      <w:proofErr w:type="gramStart"/>
      <w:r w:rsidRPr="002604E6">
        <w:rPr>
          <w:rFonts w:ascii="Times New Roman" w:eastAsia="MS PGothic" w:hAnsi="Times New Roman"/>
          <w:color w:val="000000"/>
          <w:sz w:val="22"/>
          <w:szCs w:val="22"/>
          <w:lang w:eastAsia="ja-JP"/>
        </w:rPr>
        <w:t>a</w:t>
      </w:r>
      <w:proofErr w:type="gramEnd"/>
      <w:r w:rsidRPr="002604E6">
        <w:rPr>
          <w:rFonts w:ascii="Times New Roman" w:eastAsia="MS PGothic" w:hAnsi="Times New Roman"/>
          <w:color w:val="000000"/>
          <w:sz w:val="22"/>
          <w:szCs w:val="22"/>
          <w:lang w:eastAsia="ja-JP"/>
        </w:rPr>
        <w:t xml:space="preserve"> descrição dos principais acidentes e incidentes durante o período de competência do relatório, bem como análise por parte dos empreendedores e do respectivo órgão fiscalizador sobre as causas, consequências e medidas adotadas;</w:t>
      </w:r>
    </w:p>
    <w:p w14:paraId="7B86E12E" w14:textId="77777777" w:rsidR="008815EB" w:rsidRPr="002604E6"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 xml:space="preserve">VI – </w:t>
      </w:r>
      <w:proofErr w:type="gramStart"/>
      <w:r w:rsidRPr="002604E6">
        <w:rPr>
          <w:rFonts w:ascii="Times New Roman" w:eastAsia="MS PGothic" w:hAnsi="Times New Roman"/>
          <w:color w:val="000000"/>
          <w:sz w:val="22"/>
          <w:szCs w:val="22"/>
          <w:lang w:eastAsia="ja-JP"/>
        </w:rPr>
        <w:t>a</w:t>
      </w:r>
      <w:proofErr w:type="gramEnd"/>
      <w:r w:rsidRPr="002604E6">
        <w:rPr>
          <w:rFonts w:ascii="Times New Roman" w:eastAsia="MS PGothic" w:hAnsi="Times New Roman"/>
          <w:color w:val="000000"/>
          <w:sz w:val="22"/>
          <w:szCs w:val="22"/>
          <w:lang w:eastAsia="ja-JP"/>
        </w:rPr>
        <w:t xml:space="preserve"> relação dos órgãos fiscalizadores que remeteram informações para a Agência Nacional de Águas-ANA com a síntese das informações enviadas;</w:t>
      </w:r>
    </w:p>
    <w:p w14:paraId="007995EE" w14:textId="77777777" w:rsidR="008815EB" w:rsidRDefault="008815EB" w:rsidP="008815EB">
      <w:pPr>
        <w:suppressAutoHyphens w:val="0"/>
        <w:snapToGrid w:val="0"/>
        <w:ind w:left="2268" w:firstLine="426"/>
        <w:jc w:val="both"/>
        <w:rPr>
          <w:rFonts w:ascii="Times New Roman" w:eastAsia="MS PGothic" w:hAnsi="Times New Roman"/>
          <w:color w:val="000000"/>
          <w:sz w:val="22"/>
          <w:szCs w:val="22"/>
          <w:lang w:eastAsia="ja-JP"/>
        </w:rPr>
      </w:pPr>
      <w:r>
        <w:rPr>
          <w:rFonts w:ascii="Times New Roman" w:eastAsia="MS PGothic" w:hAnsi="Times New Roman"/>
          <w:color w:val="000000"/>
          <w:sz w:val="22"/>
          <w:szCs w:val="22"/>
          <w:lang w:eastAsia="ja-JP"/>
        </w:rPr>
        <w:t xml:space="preserve">VII – </w:t>
      </w:r>
      <w:r w:rsidRPr="002604E6">
        <w:rPr>
          <w:rFonts w:ascii="Times New Roman" w:eastAsia="MS PGothic" w:hAnsi="Times New Roman"/>
          <w:color w:val="000000"/>
          <w:sz w:val="22"/>
          <w:szCs w:val="22"/>
          <w:lang w:eastAsia="ja-JP"/>
        </w:rPr>
        <w:t>os recursos dos orçamentos fiscais da União e dos Estados previstos e aplicados durante o período de competência do relatório em ações para a segurança de barragens.</w:t>
      </w:r>
    </w:p>
    <w:p w14:paraId="53797472" w14:textId="77777777" w:rsidR="008815EB" w:rsidRPr="002604E6" w:rsidRDefault="008815EB" w:rsidP="008815EB">
      <w:pPr>
        <w:suppressAutoHyphens w:val="0"/>
        <w:snapToGrid w:val="0"/>
        <w:ind w:left="2268"/>
        <w:jc w:val="both"/>
        <w:rPr>
          <w:rFonts w:ascii="Times New Roman" w:eastAsia="MS PGothic" w:hAnsi="Times New Roman"/>
          <w:color w:val="000000"/>
          <w:sz w:val="22"/>
          <w:szCs w:val="22"/>
          <w:lang w:eastAsia="ja-JP"/>
        </w:rPr>
      </w:pPr>
    </w:p>
    <w:p w14:paraId="757520F7"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O art.</w:t>
      </w:r>
      <w:r w:rsidRPr="00C84B29">
        <w:rPr>
          <w:rFonts w:ascii="Times New Roman" w:hAnsi="Times New Roman"/>
          <w:bCs/>
          <w:color w:val="000000"/>
          <w:sz w:val="24"/>
          <w:szCs w:val="24"/>
          <w:lang w:eastAsia="pt-BR"/>
        </w:rPr>
        <w:t xml:space="preserve"> 8º da Resolução </w:t>
      </w:r>
      <w:r>
        <w:rPr>
          <w:rFonts w:ascii="Times New Roman" w:hAnsi="Times New Roman"/>
          <w:bCs/>
          <w:color w:val="000000"/>
          <w:sz w:val="24"/>
          <w:szCs w:val="24"/>
          <w:lang w:eastAsia="pt-BR"/>
        </w:rPr>
        <w:t xml:space="preserve">nº </w:t>
      </w:r>
      <w:r w:rsidRPr="00C84B29">
        <w:rPr>
          <w:rFonts w:ascii="Times New Roman" w:hAnsi="Times New Roman"/>
          <w:bCs/>
          <w:color w:val="000000"/>
          <w:sz w:val="24"/>
          <w:szCs w:val="24"/>
          <w:lang w:eastAsia="pt-BR"/>
        </w:rPr>
        <w:t>144</w:t>
      </w:r>
      <w:r>
        <w:rPr>
          <w:rFonts w:ascii="Times New Roman" w:hAnsi="Times New Roman"/>
          <w:bCs/>
          <w:color w:val="000000"/>
          <w:sz w:val="24"/>
          <w:szCs w:val="24"/>
          <w:lang w:eastAsia="pt-BR"/>
        </w:rPr>
        <w:t xml:space="preserve">, de 2012, </w:t>
      </w:r>
      <w:r w:rsidRPr="00C84B29">
        <w:rPr>
          <w:rFonts w:ascii="Times New Roman" w:hAnsi="Times New Roman"/>
          <w:bCs/>
          <w:color w:val="000000"/>
          <w:sz w:val="24"/>
          <w:szCs w:val="24"/>
          <w:lang w:eastAsia="pt-BR"/>
        </w:rPr>
        <w:t xml:space="preserve">determina </w:t>
      </w:r>
      <w:r>
        <w:rPr>
          <w:rFonts w:ascii="Times New Roman" w:hAnsi="Times New Roman"/>
          <w:bCs/>
          <w:color w:val="000000"/>
          <w:sz w:val="24"/>
          <w:szCs w:val="24"/>
          <w:lang w:eastAsia="pt-BR"/>
        </w:rPr>
        <w:t xml:space="preserve">ainda </w:t>
      </w:r>
      <w:r w:rsidRPr="00C84B29">
        <w:rPr>
          <w:rFonts w:ascii="Times New Roman" w:hAnsi="Times New Roman"/>
          <w:bCs/>
          <w:color w:val="000000"/>
          <w:sz w:val="24"/>
          <w:szCs w:val="24"/>
          <w:lang w:eastAsia="pt-BR"/>
        </w:rPr>
        <w:t>que a “ANA será responsável pela coordenação da elaboração do Relatório de Segurança de Barragens e os órgãos fiscalizadores os responsáveis pelas informações a serem enviadas</w:t>
      </w:r>
      <w:r>
        <w:rPr>
          <w:rFonts w:ascii="Times New Roman" w:hAnsi="Times New Roman"/>
          <w:bCs/>
          <w:color w:val="000000"/>
          <w:sz w:val="24"/>
          <w:szCs w:val="24"/>
          <w:lang w:eastAsia="pt-BR"/>
        </w:rPr>
        <w:t>”.</w:t>
      </w:r>
    </w:p>
    <w:p w14:paraId="297E8A16" w14:textId="7BB6D913" w:rsidR="008815EB" w:rsidRPr="00C84B29" w:rsidRDefault="00ED2841"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Por fim</w:t>
      </w:r>
      <w:r w:rsidR="008815EB">
        <w:rPr>
          <w:rFonts w:ascii="Times New Roman" w:hAnsi="Times New Roman"/>
          <w:bCs/>
          <w:color w:val="000000"/>
          <w:sz w:val="24"/>
          <w:szCs w:val="24"/>
          <w:lang w:eastAsia="pt-BR"/>
        </w:rPr>
        <w:t>, a</w:t>
      </w:r>
      <w:r w:rsidR="008815EB" w:rsidRPr="00C84B29">
        <w:rPr>
          <w:rFonts w:ascii="Times New Roman" w:hAnsi="Times New Roman"/>
          <w:bCs/>
          <w:color w:val="000000"/>
          <w:sz w:val="24"/>
          <w:szCs w:val="24"/>
          <w:lang w:eastAsia="pt-BR"/>
        </w:rPr>
        <w:t xml:space="preserve"> Resolução nº 178</w:t>
      </w:r>
      <w:r w:rsidR="008815EB">
        <w:rPr>
          <w:rFonts w:ascii="Times New Roman" w:hAnsi="Times New Roman"/>
          <w:bCs/>
          <w:color w:val="000000"/>
          <w:sz w:val="24"/>
          <w:szCs w:val="24"/>
          <w:lang w:eastAsia="pt-BR"/>
        </w:rPr>
        <w:t>, de 2016, do CNRH,</w:t>
      </w:r>
      <w:r w:rsidR="008815EB" w:rsidRPr="00C84B29">
        <w:rPr>
          <w:rFonts w:ascii="Times New Roman" w:hAnsi="Times New Roman"/>
          <w:bCs/>
          <w:color w:val="000000"/>
          <w:sz w:val="24"/>
          <w:szCs w:val="24"/>
          <w:lang w:eastAsia="pt-BR"/>
        </w:rPr>
        <w:t xml:space="preserve"> alterou em parte a Resolução </w:t>
      </w:r>
      <w:r w:rsidR="008815EB">
        <w:rPr>
          <w:rFonts w:ascii="Times New Roman" w:hAnsi="Times New Roman"/>
          <w:bCs/>
          <w:color w:val="000000"/>
          <w:sz w:val="24"/>
          <w:szCs w:val="24"/>
          <w:lang w:eastAsia="pt-BR"/>
        </w:rPr>
        <w:t xml:space="preserve">nº </w:t>
      </w:r>
      <w:r w:rsidR="008815EB" w:rsidRPr="00C84B29">
        <w:rPr>
          <w:rFonts w:ascii="Times New Roman" w:hAnsi="Times New Roman"/>
          <w:bCs/>
          <w:color w:val="000000"/>
          <w:sz w:val="24"/>
          <w:szCs w:val="24"/>
          <w:lang w:eastAsia="pt-BR"/>
        </w:rPr>
        <w:t>144</w:t>
      </w:r>
      <w:r w:rsidR="008815EB">
        <w:rPr>
          <w:rFonts w:ascii="Times New Roman" w:hAnsi="Times New Roman"/>
          <w:bCs/>
          <w:color w:val="000000"/>
          <w:sz w:val="24"/>
          <w:szCs w:val="24"/>
          <w:lang w:eastAsia="pt-BR"/>
        </w:rPr>
        <w:t>, de 2012,</w:t>
      </w:r>
      <w:r w:rsidR="008815EB" w:rsidRPr="00C84B29">
        <w:rPr>
          <w:rFonts w:ascii="Times New Roman" w:hAnsi="Times New Roman"/>
          <w:bCs/>
          <w:color w:val="000000"/>
          <w:sz w:val="24"/>
          <w:szCs w:val="24"/>
          <w:lang w:eastAsia="pt-BR"/>
        </w:rPr>
        <w:t xml:space="preserve"> </w:t>
      </w:r>
      <w:r w:rsidR="008815EB">
        <w:rPr>
          <w:rFonts w:ascii="Times New Roman" w:hAnsi="Times New Roman"/>
          <w:bCs/>
          <w:color w:val="000000"/>
          <w:sz w:val="24"/>
          <w:szCs w:val="24"/>
          <w:lang w:eastAsia="pt-BR"/>
        </w:rPr>
        <w:t>estabelecendo</w:t>
      </w:r>
      <w:r w:rsidR="008815EB" w:rsidRPr="00C84B29">
        <w:rPr>
          <w:rFonts w:ascii="Times New Roman" w:hAnsi="Times New Roman"/>
          <w:bCs/>
          <w:color w:val="000000"/>
          <w:sz w:val="24"/>
          <w:szCs w:val="24"/>
          <w:lang w:eastAsia="pt-BR"/>
        </w:rPr>
        <w:t xml:space="preserve"> diretrizes e prazos relativos ao </w:t>
      </w:r>
      <w:r w:rsidR="008815EB">
        <w:rPr>
          <w:rFonts w:ascii="Times New Roman" w:hAnsi="Times New Roman"/>
          <w:bCs/>
          <w:color w:val="000000"/>
          <w:sz w:val="24"/>
          <w:szCs w:val="24"/>
          <w:lang w:eastAsia="pt-BR"/>
        </w:rPr>
        <w:t>RSB</w:t>
      </w:r>
      <w:r w:rsidR="008815EB" w:rsidRPr="00C84B29">
        <w:rPr>
          <w:rFonts w:ascii="Times New Roman" w:hAnsi="Times New Roman"/>
          <w:bCs/>
          <w:color w:val="000000"/>
          <w:sz w:val="24"/>
          <w:szCs w:val="24"/>
          <w:lang w:eastAsia="pt-BR"/>
        </w:rPr>
        <w:t xml:space="preserve">: </w:t>
      </w:r>
    </w:p>
    <w:p w14:paraId="76842643" w14:textId="77777777" w:rsidR="008815EB" w:rsidRPr="00AC03B0" w:rsidRDefault="008815EB" w:rsidP="00ED2841">
      <w:pPr>
        <w:numPr>
          <w:ilvl w:val="0"/>
          <w:numId w:val="4"/>
        </w:numPr>
        <w:suppressAutoHyphens w:val="0"/>
        <w:snapToGrid w:val="0"/>
        <w:spacing w:after="120"/>
        <w:ind w:left="71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o</w:t>
      </w:r>
      <w:proofErr w:type="gramEnd"/>
      <w:r w:rsidRPr="00AC03B0">
        <w:rPr>
          <w:rFonts w:ascii="Times New Roman" w:eastAsia="MS PGothic" w:hAnsi="Times New Roman"/>
          <w:color w:val="000000"/>
          <w:sz w:val="24"/>
          <w:szCs w:val="24"/>
          <w:lang w:eastAsia="ja-JP"/>
        </w:rPr>
        <w:t xml:space="preserve"> relatório  deverá compreender o período entre 1º de janeiro a 31 de dezembro do ano de referência do relatório;</w:t>
      </w:r>
    </w:p>
    <w:p w14:paraId="46BCC1FD" w14:textId="77777777" w:rsidR="008815EB" w:rsidRPr="00AC03B0" w:rsidRDefault="008815EB" w:rsidP="00ED2841">
      <w:pPr>
        <w:numPr>
          <w:ilvl w:val="0"/>
          <w:numId w:val="4"/>
        </w:numPr>
        <w:suppressAutoHyphens w:val="0"/>
        <w:snapToGrid w:val="0"/>
        <w:spacing w:after="120"/>
        <w:ind w:left="71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a</w:t>
      </w:r>
      <w:proofErr w:type="gramEnd"/>
      <w:r w:rsidRPr="00AC03B0">
        <w:rPr>
          <w:rFonts w:ascii="Times New Roman" w:eastAsia="MS PGothic" w:hAnsi="Times New Roman"/>
          <w:color w:val="000000"/>
          <w:sz w:val="24"/>
          <w:szCs w:val="24"/>
          <w:lang w:eastAsia="ja-JP"/>
        </w:rPr>
        <w:t xml:space="preserve"> ANA deverá encaminhar o Relatório de Segurança de Barragens ao CNRH até 31 de agosto para o CNRH, de forma consolidada, para sua apreciação;</w:t>
      </w:r>
    </w:p>
    <w:p w14:paraId="526AE53E" w14:textId="77777777" w:rsidR="008815EB" w:rsidRPr="00AC03B0" w:rsidRDefault="008815EB" w:rsidP="00ED2841">
      <w:pPr>
        <w:numPr>
          <w:ilvl w:val="0"/>
          <w:numId w:val="4"/>
        </w:numPr>
        <w:suppressAutoHyphens w:val="0"/>
        <w:snapToGrid w:val="0"/>
        <w:spacing w:after="120"/>
        <w:ind w:left="71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lastRenderedPageBreak/>
        <w:t>institui</w:t>
      </w:r>
      <w:proofErr w:type="gramEnd"/>
      <w:r w:rsidRPr="00AC03B0">
        <w:rPr>
          <w:rFonts w:ascii="Times New Roman" w:eastAsia="MS PGothic" w:hAnsi="Times New Roman"/>
          <w:color w:val="000000"/>
          <w:sz w:val="24"/>
          <w:szCs w:val="24"/>
          <w:lang w:eastAsia="ja-JP"/>
        </w:rPr>
        <w:t xml:space="preserve"> Grupo de Trabalho no âmbito da Câmara Técnica de Análise de Projeto (CTAP), constituído por dois membros de cada segmento representado na CTAP, com o objetivo de analisar o relatório elaborado pela ANA e propor as recomendações para a melhoria da segurança de barragens;</w:t>
      </w:r>
    </w:p>
    <w:p w14:paraId="69E96FA9" w14:textId="77777777" w:rsidR="008815EB" w:rsidRPr="00AC03B0" w:rsidRDefault="008815EB" w:rsidP="00ED2841">
      <w:pPr>
        <w:numPr>
          <w:ilvl w:val="0"/>
          <w:numId w:val="4"/>
        </w:numPr>
        <w:suppressAutoHyphens w:val="0"/>
        <w:snapToGrid w:val="0"/>
        <w:spacing w:after="120"/>
        <w:ind w:left="71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cabe</w:t>
      </w:r>
      <w:proofErr w:type="gramEnd"/>
      <w:r w:rsidRPr="00AC03B0">
        <w:rPr>
          <w:rFonts w:ascii="Times New Roman" w:eastAsia="MS PGothic" w:hAnsi="Times New Roman"/>
          <w:color w:val="000000"/>
          <w:sz w:val="24"/>
          <w:szCs w:val="24"/>
          <w:lang w:eastAsia="ja-JP"/>
        </w:rPr>
        <w:t xml:space="preserve"> ao CNRH, anualmente, apreciar o Relatório de Segurança de Barragens, fazendo, se necessário, recomendações para melhoria da segurança das obras;</w:t>
      </w:r>
    </w:p>
    <w:p w14:paraId="3B6D9510" w14:textId="77777777" w:rsidR="008815EB" w:rsidRPr="00AC03B0" w:rsidRDefault="008815EB" w:rsidP="00ED2841">
      <w:pPr>
        <w:numPr>
          <w:ilvl w:val="0"/>
          <w:numId w:val="4"/>
        </w:numPr>
        <w:suppressAutoHyphens w:val="0"/>
        <w:snapToGrid w:val="0"/>
        <w:spacing w:after="120"/>
        <w:ind w:left="714" w:hanging="357"/>
        <w:jc w:val="both"/>
        <w:rPr>
          <w:rFonts w:ascii="Times New Roman" w:eastAsia="MS PGothic" w:hAnsi="Times New Roman"/>
          <w:color w:val="000000"/>
          <w:sz w:val="24"/>
          <w:szCs w:val="24"/>
          <w:lang w:eastAsia="ja-JP"/>
        </w:rPr>
      </w:pPr>
      <w:proofErr w:type="gramStart"/>
      <w:r w:rsidRPr="00AC03B0">
        <w:rPr>
          <w:rFonts w:ascii="Times New Roman" w:eastAsia="MS PGothic" w:hAnsi="Times New Roman"/>
          <w:color w:val="000000"/>
          <w:sz w:val="24"/>
          <w:szCs w:val="24"/>
          <w:lang w:eastAsia="ja-JP"/>
        </w:rPr>
        <w:t>o</w:t>
      </w:r>
      <w:proofErr w:type="gramEnd"/>
      <w:r w:rsidRPr="00AC03B0">
        <w:rPr>
          <w:rFonts w:ascii="Times New Roman" w:eastAsia="MS PGothic" w:hAnsi="Times New Roman"/>
          <w:color w:val="000000"/>
          <w:sz w:val="24"/>
          <w:szCs w:val="24"/>
          <w:lang w:eastAsia="ja-JP"/>
        </w:rPr>
        <w:t xml:space="preserve"> CNRH encaminhará ao Congresso Nacional até 31 de dezembro de cada ano. </w:t>
      </w:r>
    </w:p>
    <w:p w14:paraId="0F8C1A07" w14:textId="30B2A976" w:rsidR="00ED2841" w:rsidRDefault="00ED2841" w:rsidP="008815EB">
      <w:pPr>
        <w:jc w:val="both"/>
        <w:rPr>
          <w:rFonts w:ascii="Times New Roman" w:hAnsi="Times New Roman"/>
          <w:b/>
          <w:sz w:val="24"/>
          <w:szCs w:val="24"/>
        </w:rPr>
      </w:pPr>
    </w:p>
    <w:p w14:paraId="511BDB93" w14:textId="77777777" w:rsidR="00ED2841" w:rsidRDefault="00ED2841" w:rsidP="008815EB">
      <w:pPr>
        <w:jc w:val="both"/>
        <w:rPr>
          <w:rFonts w:ascii="Times New Roman" w:hAnsi="Times New Roman"/>
          <w:b/>
          <w:sz w:val="24"/>
          <w:szCs w:val="24"/>
        </w:rPr>
      </w:pPr>
    </w:p>
    <w:p w14:paraId="2B7EE436" w14:textId="72ED2AB3" w:rsidR="008815EB" w:rsidRDefault="008815EB" w:rsidP="00ED2841">
      <w:pPr>
        <w:spacing w:line="360" w:lineRule="auto"/>
        <w:jc w:val="both"/>
        <w:rPr>
          <w:rFonts w:ascii="Times New Roman" w:hAnsi="Times New Roman"/>
          <w:b/>
          <w:sz w:val="24"/>
          <w:szCs w:val="24"/>
        </w:rPr>
      </w:pPr>
      <w:r>
        <w:rPr>
          <w:rFonts w:ascii="Times New Roman" w:hAnsi="Times New Roman"/>
          <w:b/>
          <w:sz w:val="24"/>
          <w:szCs w:val="24"/>
        </w:rPr>
        <w:t xml:space="preserve">II — </w:t>
      </w:r>
      <w:r w:rsidRPr="008D760C">
        <w:rPr>
          <w:rFonts w:ascii="Times New Roman" w:hAnsi="Times New Roman"/>
          <w:b/>
          <w:sz w:val="24"/>
          <w:szCs w:val="24"/>
        </w:rPr>
        <w:t>RELATÓRIO</w:t>
      </w:r>
    </w:p>
    <w:p w14:paraId="06202013" w14:textId="77777777" w:rsidR="00ED2841" w:rsidRDefault="00ED2841" w:rsidP="00ED2841">
      <w:pPr>
        <w:spacing w:line="360" w:lineRule="auto"/>
        <w:jc w:val="both"/>
        <w:rPr>
          <w:rFonts w:ascii="Times New Roman" w:hAnsi="Times New Roman"/>
          <w:b/>
          <w:sz w:val="24"/>
          <w:szCs w:val="24"/>
        </w:rPr>
      </w:pPr>
    </w:p>
    <w:p w14:paraId="7AFCB322" w14:textId="77777777" w:rsidR="008815EB"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24AD9">
        <w:rPr>
          <w:rFonts w:ascii="Times New Roman" w:hAnsi="Times New Roman"/>
          <w:bCs/>
          <w:color w:val="000000"/>
          <w:sz w:val="24"/>
          <w:szCs w:val="24"/>
          <w:lang w:eastAsia="pt-BR"/>
        </w:rPr>
        <w:t xml:space="preserve">Tendo como principal objetivo garantir a observância de padrões de segurança de barragens no território nacional, com o objetivo de reduzir a possibilidade de acidentes e consequências associadas, foi instituída a PNSB por meio da Lei nº 12.334, de 2010. </w:t>
      </w:r>
    </w:p>
    <w:p w14:paraId="4B712686" w14:textId="77777777" w:rsidR="008815EB" w:rsidRPr="00C24AD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24AD9">
        <w:rPr>
          <w:rFonts w:ascii="Times New Roman" w:hAnsi="Times New Roman"/>
          <w:bCs/>
          <w:color w:val="000000"/>
          <w:sz w:val="24"/>
          <w:szCs w:val="24"/>
          <w:lang w:eastAsia="pt-BR"/>
        </w:rPr>
        <w:t>De movo a viabilizar o alcance de sua finalidade, a PNSB conta com diversos instrumentos. Dentre estes, a disponibilização anual do RSB, parte integrante de um programa de educação e de comunicação sobre segurança de barragens à sociedade (art. 6º, VII; art. 15, V).</w:t>
      </w:r>
    </w:p>
    <w:p w14:paraId="4EDFB03B" w14:textId="77777777" w:rsidR="008815EB" w:rsidRDefault="008815EB" w:rsidP="00ED2841">
      <w:pPr>
        <w:numPr>
          <w:ilvl w:val="0"/>
          <w:numId w:val="1"/>
        </w:numPr>
        <w:suppressAutoHyphens w:val="0"/>
        <w:snapToGrid w:val="0"/>
        <w:spacing w:after="120" w:line="360" w:lineRule="auto"/>
        <w:ind w:left="0" w:firstLine="0"/>
        <w:jc w:val="both"/>
        <w:rPr>
          <w:rFonts w:ascii="Times New Roman" w:hAnsi="Times New Roman"/>
          <w:sz w:val="24"/>
          <w:szCs w:val="24"/>
        </w:rPr>
      </w:pPr>
      <w:r w:rsidRPr="00C84B29">
        <w:rPr>
          <w:rFonts w:ascii="Times New Roman" w:hAnsi="Times New Roman"/>
          <w:bCs/>
          <w:color w:val="000000"/>
          <w:sz w:val="24"/>
          <w:szCs w:val="24"/>
          <w:lang w:eastAsia="pt-BR"/>
        </w:rPr>
        <w:t xml:space="preserve">De modo a dar efetividade ao RSB, a PNSB estabelece atribuições específicas aos entes envolvidos. Por força do disposto no art. 4º, XXI e XXII, da Lei nº 9.984, de 2000, compete à </w:t>
      </w:r>
      <w:r>
        <w:rPr>
          <w:rFonts w:ascii="Times New Roman" w:hAnsi="Times New Roman"/>
          <w:bCs/>
          <w:color w:val="000000"/>
          <w:sz w:val="24"/>
          <w:szCs w:val="24"/>
          <w:lang w:eastAsia="pt-BR"/>
        </w:rPr>
        <w:t>ANA,</w:t>
      </w:r>
      <w:r w:rsidRPr="00C84B29">
        <w:rPr>
          <w:rFonts w:ascii="Times New Roman" w:hAnsi="Times New Roman"/>
          <w:bCs/>
          <w:color w:val="000000"/>
          <w:sz w:val="24"/>
          <w:szCs w:val="24"/>
          <w:lang w:eastAsia="pt-BR"/>
        </w:rPr>
        <w:t xml:space="preserve"> a partir de informações apresentadas pelos diversos órgãos fiscalizadores de segurança de barragens, a coordenação da elaboração do RSB, devendo encaminhar anualmente o documento já consolidado ao CNRH. A este, por sua vez, em consonância com o que dispõe a Lei nº 9.433, de 1997, compete o estabelecimento de diretrizes para a elaboração do RSB, sua apreciação — a qual pode incluir a emissão de recomendações para a melhoria da segurança de barragens —, bem como o seu envio ao Congresso Nacional (art. 35, XII e XIII).</w:t>
      </w:r>
    </w:p>
    <w:p w14:paraId="7678A132" w14:textId="1BC61F6E"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As diretrizes para a elaboração do RSB, bem como o rito para sua apreciação, são </w:t>
      </w:r>
      <w:proofErr w:type="gramStart"/>
      <w:r w:rsidRPr="00C84B29">
        <w:rPr>
          <w:rFonts w:ascii="Times New Roman" w:hAnsi="Times New Roman"/>
          <w:bCs/>
          <w:color w:val="000000"/>
          <w:sz w:val="24"/>
          <w:szCs w:val="24"/>
          <w:lang w:eastAsia="pt-BR"/>
        </w:rPr>
        <w:t>regulamentados</w:t>
      </w:r>
      <w:proofErr w:type="gramEnd"/>
      <w:r w:rsidR="0030600C">
        <w:rPr>
          <w:rFonts w:ascii="Times New Roman" w:hAnsi="Times New Roman"/>
          <w:bCs/>
          <w:color w:val="000000"/>
          <w:sz w:val="24"/>
          <w:szCs w:val="24"/>
          <w:lang w:eastAsia="pt-BR"/>
        </w:rPr>
        <w:t xml:space="preserve"> pelo CNRH</w:t>
      </w:r>
      <w:r w:rsidRPr="00C84B29">
        <w:rPr>
          <w:rFonts w:ascii="Times New Roman" w:hAnsi="Times New Roman"/>
          <w:bCs/>
          <w:color w:val="000000"/>
          <w:sz w:val="24"/>
          <w:szCs w:val="24"/>
          <w:lang w:eastAsia="pt-BR"/>
        </w:rPr>
        <w:t xml:space="preserve"> </w:t>
      </w:r>
      <w:r w:rsidR="0030600C">
        <w:rPr>
          <w:rFonts w:ascii="Times New Roman" w:hAnsi="Times New Roman"/>
          <w:bCs/>
          <w:color w:val="000000"/>
          <w:sz w:val="24"/>
          <w:szCs w:val="24"/>
          <w:lang w:eastAsia="pt-BR"/>
        </w:rPr>
        <w:t>por meio da</w:t>
      </w:r>
      <w:r w:rsidRPr="00C84B29">
        <w:rPr>
          <w:rFonts w:ascii="Times New Roman" w:hAnsi="Times New Roman"/>
          <w:bCs/>
          <w:color w:val="000000"/>
          <w:sz w:val="24"/>
          <w:szCs w:val="24"/>
          <w:lang w:eastAsia="pt-BR"/>
        </w:rPr>
        <w:t xml:space="preserve"> Resolução nº 144, de </w:t>
      </w:r>
      <w:r>
        <w:rPr>
          <w:rFonts w:ascii="Times New Roman" w:hAnsi="Times New Roman"/>
          <w:bCs/>
          <w:color w:val="000000"/>
          <w:sz w:val="24"/>
          <w:szCs w:val="24"/>
          <w:lang w:eastAsia="pt-BR"/>
        </w:rPr>
        <w:t>2012</w:t>
      </w:r>
      <w:r w:rsidRPr="00C84B29">
        <w:rPr>
          <w:rFonts w:ascii="Times New Roman" w:hAnsi="Times New Roman"/>
          <w:bCs/>
          <w:color w:val="000000"/>
          <w:sz w:val="24"/>
          <w:szCs w:val="24"/>
          <w:lang w:eastAsia="pt-BR"/>
        </w:rPr>
        <w:t>. Além de definir prazos e responsabilidades para a ANA, para os demais órgãos fiscalizadores e aos agentes responsáveis pela segurança de barragens</w:t>
      </w:r>
      <w:r>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a Resolução nº 144, de 2012, alterada pela </w:t>
      </w:r>
      <w:r>
        <w:rPr>
          <w:rFonts w:ascii="Times New Roman" w:hAnsi="Times New Roman"/>
          <w:bCs/>
          <w:color w:val="000000"/>
          <w:sz w:val="24"/>
          <w:szCs w:val="24"/>
          <w:lang w:eastAsia="pt-BR"/>
        </w:rPr>
        <w:t xml:space="preserve">Resolução nº 178, </w:t>
      </w:r>
      <w:r w:rsidRPr="00C84B29">
        <w:rPr>
          <w:rFonts w:ascii="Times New Roman" w:hAnsi="Times New Roman"/>
          <w:bCs/>
          <w:color w:val="000000"/>
          <w:sz w:val="24"/>
          <w:szCs w:val="24"/>
          <w:lang w:eastAsia="pt-BR"/>
        </w:rPr>
        <w:t xml:space="preserve">de 2016, estabelece que compete a grupo de trabalho instituído no </w:t>
      </w:r>
      <w:r w:rsidRPr="00C84B29">
        <w:rPr>
          <w:rFonts w:ascii="Times New Roman" w:hAnsi="Times New Roman"/>
          <w:bCs/>
          <w:color w:val="000000"/>
          <w:sz w:val="24"/>
          <w:szCs w:val="24"/>
          <w:lang w:eastAsia="pt-BR"/>
        </w:rPr>
        <w:lastRenderedPageBreak/>
        <w:t>âmbito da Câmara Técnica de Análise de Projeto (CTAP</w:t>
      </w:r>
      <w:r w:rsidR="0030600C">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analisar o RSB e propor recomendações para a melhoria da segurança.</w:t>
      </w:r>
    </w:p>
    <w:p w14:paraId="0CCCEC3C"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Em 20 de setembro de 2017, quando da realização da 80º Reunião da CTAP, em Brasília, foram definidos os membros que integrariam o grupo de trabalho de análise do RSB 2016, enviado pela ANA ao CNRH por meio do Ofício nº 193/2017/AA-ANA, de 1º de setembro de 2017 (na origem, registro nº 00000.057169/2017-98). Registrar as análises, conclusões e propostas de recomendações desse grupo de trabalho é o objetivo deste Parecer Técnico.</w:t>
      </w:r>
    </w:p>
    <w:p w14:paraId="2C8F7105" w14:textId="77777777" w:rsidR="008815EB" w:rsidRPr="00C84B29" w:rsidRDefault="008815EB" w:rsidP="0030600C">
      <w:pPr>
        <w:numPr>
          <w:ilvl w:val="0"/>
          <w:numId w:val="1"/>
        </w:numPr>
        <w:suppressAutoHyphens w:val="0"/>
        <w:snapToGrid w:val="0"/>
        <w:spacing w:after="120"/>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Em consonância com o art. 14, parágrafo único, da Resolução nº 144, de 2012, na ocasião d</w:t>
      </w:r>
      <w:r>
        <w:rPr>
          <w:rFonts w:ascii="Times New Roman" w:hAnsi="Times New Roman"/>
          <w:bCs/>
          <w:color w:val="000000"/>
          <w:sz w:val="24"/>
          <w:szCs w:val="24"/>
          <w:lang w:eastAsia="pt-BR"/>
        </w:rPr>
        <w:t>e sua 80ª Reunião</w:t>
      </w:r>
      <w:r w:rsidRPr="00C84B29">
        <w:rPr>
          <w:rFonts w:ascii="Times New Roman" w:hAnsi="Times New Roman"/>
          <w:bCs/>
          <w:color w:val="000000"/>
          <w:sz w:val="24"/>
          <w:szCs w:val="24"/>
          <w:lang w:eastAsia="pt-BR"/>
        </w:rPr>
        <w:t>, a CTAP definiu o grupo de trabalho de análise do RSB 2016 com a seguinte composição:</w:t>
      </w:r>
    </w:p>
    <w:p w14:paraId="15EFA1A3"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 representantes do segmento Governo:</w:t>
      </w:r>
    </w:p>
    <w:p w14:paraId="2518B55F"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a) Cássio Giuliani Carvalho (</w:t>
      </w:r>
      <w:r>
        <w:rPr>
          <w:rFonts w:ascii="Times New Roman" w:hAnsi="Times New Roman"/>
          <w:sz w:val="24"/>
          <w:szCs w:val="24"/>
        </w:rPr>
        <w:t>C</w:t>
      </w:r>
      <w:r w:rsidRPr="00A003AD">
        <w:rPr>
          <w:rFonts w:ascii="Times New Roman" w:hAnsi="Times New Roman"/>
          <w:sz w:val="24"/>
          <w:szCs w:val="24"/>
        </w:rPr>
        <w:t>oordenador do grupo de trabalho),</w:t>
      </w:r>
    </w:p>
    <w:p w14:paraId="3FF2B81B"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 xml:space="preserve">b) Cristiane </w:t>
      </w:r>
      <w:proofErr w:type="spellStart"/>
      <w:r w:rsidRPr="00A003AD">
        <w:rPr>
          <w:rFonts w:ascii="Times New Roman" w:hAnsi="Times New Roman"/>
          <w:sz w:val="24"/>
          <w:szCs w:val="24"/>
        </w:rPr>
        <w:t>Collet</w:t>
      </w:r>
      <w:proofErr w:type="spellEnd"/>
      <w:r w:rsidRPr="00A003AD">
        <w:rPr>
          <w:rFonts w:ascii="Times New Roman" w:hAnsi="Times New Roman"/>
          <w:sz w:val="24"/>
          <w:szCs w:val="24"/>
        </w:rPr>
        <w:t xml:space="preserve"> Battiston;</w:t>
      </w:r>
    </w:p>
    <w:p w14:paraId="5D8DBF4B"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b) representantes do segmento Conselhos Estaduais de Recursos Hídricos:</w:t>
      </w:r>
    </w:p>
    <w:p w14:paraId="21F09822"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 xml:space="preserve">a) Paulo Eduardo </w:t>
      </w:r>
      <w:proofErr w:type="spellStart"/>
      <w:r w:rsidRPr="00A003AD">
        <w:rPr>
          <w:rFonts w:ascii="Times New Roman" w:hAnsi="Times New Roman"/>
          <w:sz w:val="24"/>
          <w:szCs w:val="24"/>
        </w:rPr>
        <w:t>Cavichiolo</w:t>
      </w:r>
      <w:proofErr w:type="spellEnd"/>
      <w:r w:rsidRPr="00A003AD">
        <w:rPr>
          <w:rFonts w:ascii="Times New Roman" w:hAnsi="Times New Roman"/>
          <w:sz w:val="24"/>
          <w:szCs w:val="24"/>
        </w:rPr>
        <w:t xml:space="preserve"> Franco,</w:t>
      </w:r>
    </w:p>
    <w:p w14:paraId="26091BCE"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b) Fernando Setembrino Cruz Meirelles;</w:t>
      </w:r>
    </w:p>
    <w:p w14:paraId="467C844E"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c) representantes do segmento Usuários:</w:t>
      </w:r>
    </w:p>
    <w:p w14:paraId="31EC6F57"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 xml:space="preserve">a) </w:t>
      </w:r>
      <w:proofErr w:type="spellStart"/>
      <w:r w:rsidRPr="00A003AD">
        <w:rPr>
          <w:rFonts w:ascii="Times New Roman" w:hAnsi="Times New Roman"/>
          <w:sz w:val="24"/>
          <w:szCs w:val="24"/>
        </w:rPr>
        <w:t>Eloneide</w:t>
      </w:r>
      <w:proofErr w:type="spellEnd"/>
      <w:r w:rsidRPr="00A003AD">
        <w:rPr>
          <w:rFonts w:ascii="Times New Roman" w:hAnsi="Times New Roman"/>
          <w:sz w:val="24"/>
          <w:szCs w:val="24"/>
        </w:rPr>
        <w:t xml:space="preserve"> Meneses França Arruda,</w:t>
      </w:r>
    </w:p>
    <w:p w14:paraId="56782FA0"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b) Ivo Mello;</w:t>
      </w:r>
    </w:p>
    <w:p w14:paraId="5BC7F0DA"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d) representantes do segmento Sociedade Civil:</w:t>
      </w:r>
    </w:p>
    <w:p w14:paraId="206FD255" w14:textId="77777777" w:rsidR="008815EB" w:rsidRPr="00A003AD" w:rsidRDefault="008815EB" w:rsidP="0030600C">
      <w:pPr>
        <w:spacing w:after="120"/>
        <w:ind w:left="709"/>
        <w:jc w:val="both"/>
        <w:rPr>
          <w:rFonts w:ascii="Times New Roman" w:hAnsi="Times New Roman"/>
          <w:sz w:val="24"/>
          <w:szCs w:val="24"/>
        </w:rPr>
      </w:pPr>
      <w:r>
        <w:rPr>
          <w:rFonts w:ascii="Times New Roman" w:hAnsi="Times New Roman"/>
          <w:sz w:val="24"/>
          <w:szCs w:val="24"/>
        </w:rPr>
        <w:tab/>
        <w:t>a) Jussara Cabra Cruz (R</w:t>
      </w:r>
      <w:r w:rsidRPr="00A003AD">
        <w:rPr>
          <w:rFonts w:ascii="Times New Roman" w:hAnsi="Times New Roman"/>
          <w:sz w:val="24"/>
          <w:szCs w:val="24"/>
        </w:rPr>
        <w:t>elatora do grupo de trabalho),</w:t>
      </w:r>
    </w:p>
    <w:p w14:paraId="7CE4D95F" w14:textId="77777777" w:rsidR="008815EB" w:rsidRPr="00A003AD" w:rsidRDefault="008815EB" w:rsidP="0030600C">
      <w:pPr>
        <w:spacing w:after="120"/>
        <w:ind w:left="709"/>
        <w:jc w:val="both"/>
        <w:rPr>
          <w:rFonts w:ascii="Times New Roman" w:hAnsi="Times New Roman"/>
          <w:sz w:val="24"/>
          <w:szCs w:val="24"/>
        </w:rPr>
      </w:pPr>
      <w:r w:rsidRPr="00A003AD">
        <w:rPr>
          <w:rFonts w:ascii="Times New Roman" w:hAnsi="Times New Roman"/>
          <w:sz w:val="24"/>
          <w:szCs w:val="24"/>
        </w:rPr>
        <w:tab/>
        <w:t xml:space="preserve">b) Gustavo </w:t>
      </w:r>
      <w:proofErr w:type="spellStart"/>
      <w:r w:rsidRPr="00A003AD">
        <w:rPr>
          <w:rFonts w:ascii="Times New Roman" w:hAnsi="Times New Roman"/>
          <w:sz w:val="24"/>
          <w:szCs w:val="24"/>
        </w:rPr>
        <w:t>Gazinelli</w:t>
      </w:r>
      <w:proofErr w:type="spellEnd"/>
      <w:r w:rsidRPr="00A003AD">
        <w:rPr>
          <w:rFonts w:ascii="Times New Roman" w:hAnsi="Times New Roman"/>
          <w:sz w:val="24"/>
          <w:szCs w:val="24"/>
        </w:rPr>
        <w:t>.</w:t>
      </w:r>
    </w:p>
    <w:p w14:paraId="72741130" w14:textId="77777777" w:rsidR="008815EB" w:rsidRDefault="008815EB" w:rsidP="00ED2841">
      <w:pPr>
        <w:spacing w:line="360" w:lineRule="auto"/>
        <w:jc w:val="both"/>
        <w:rPr>
          <w:rFonts w:ascii="Times New Roman" w:hAnsi="Times New Roman"/>
          <w:sz w:val="24"/>
          <w:szCs w:val="24"/>
        </w:rPr>
      </w:pPr>
    </w:p>
    <w:p w14:paraId="69C44C0E"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A diretriz de trabalho adotada foi estabelecida a partir do que dispõe o art. 14 da Resolução nº 144, de 2012, </w:t>
      </w:r>
      <w:r>
        <w:rPr>
          <w:rFonts w:ascii="Times New Roman" w:hAnsi="Times New Roman"/>
          <w:bCs/>
          <w:color w:val="000000"/>
          <w:sz w:val="24"/>
          <w:szCs w:val="24"/>
          <w:lang w:eastAsia="pt-BR"/>
        </w:rPr>
        <w:t>a</w:t>
      </w:r>
      <w:r w:rsidRPr="00C84B29">
        <w:rPr>
          <w:rFonts w:ascii="Times New Roman" w:hAnsi="Times New Roman"/>
          <w:bCs/>
          <w:color w:val="000000"/>
          <w:sz w:val="24"/>
          <w:szCs w:val="24"/>
          <w:lang w:eastAsia="pt-BR"/>
        </w:rPr>
        <w:t xml:space="preserve"> qual estabelece que grupo de trabalho tem como objetivo "analisar o relatório elaborado pela ANA e propor as recomendações para a melhoria da segurança de barragens". Para tanto, os trabalhos foram balizados pelas disposições contidas na PNSB e nas Resoluções nº 143, de 2012, e nº 14</w:t>
      </w:r>
      <w:r>
        <w:rPr>
          <w:rFonts w:ascii="Times New Roman" w:hAnsi="Times New Roman"/>
          <w:bCs/>
          <w:color w:val="000000"/>
          <w:sz w:val="24"/>
          <w:szCs w:val="24"/>
          <w:lang w:eastAsia="pt-BR"/>
        </w:rPr>
        <w:t>4</w:t>
      </w:r>
      <w:r w:rsidRPr="00C84B29">
        <w:rPr>
          <w:rFonts w:ascii="Times New Roman" w:hAnsi="Times New Roman"/>
          <w:bCs/>
          <w:color w:val="000000"/>
          <w:sz w:val="24"/>
          <w:szCs w:val="24"/>
          <w:lang w:eastAsia="pt-BR"/>
        </w:rPr>
        <w:t xml:space="preserve">, de 2012, do CNRH. Registra-se que erros de forma, eventualmente detectados durante as análises do RSB 2016, foram remetidos à ANA. </w:t>
      </w:r>
    </w:p>
    <w:p w14:paraId="2AA6AB66"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lastRenderedPageBreak/>
        <w:t>O cronograma de trabalho definido por meio de consenso entre os membros do grupo previa que o parecer técnico fosse encaminhado à Secretaria-Executiva do CNRH no dia 10 de novembro de 2017, após a apreciação da respectiva minuta pelos membros. Todavia, a 81ª Reunião da CTAP, para a qual estava prevista a apreciação do parecer técnico, havia sido agendada para o dia 17 de novembro de 2017. Assim, de modo a atender o prazo estabelecido no art. 29, §5º, do Regimento Interno do CNRH, o envio da minuta do parecer técnico à Secretaria-Executiva do CNRH foi antecipad</w:t>
      </w:r>
      <w:r>
        <w:rPr>
          <w:rFonts w:ascii="Times New Roman" w:hAnsi="Times New Roman"/>
          <w:bCs/>
          <w:color w:val="000000"/>
          <w:sz w:val="24"/>
          <w:szCs w:val="24"/>
          <w:lang w:eastAsia="pt-BR"/>
        </w:rPr>
        <w:t>o</w:t>
      </w:r>
      <w:r w:rsidRPr="00C84B29">
        <w:rPr>
          <w:rFonts w:ascii="Times New Roman" w:hAnsi="Times New Roman"/>
          <w:bCs/>
          <w:color w:val="000000"/>
          <w:sz w:val="24"/>
          <w:szCs w:val="24"/>
          <w:lang w:eastAsia="pt-BR"/>
        </w:rPr>
        <w:t xml:space="preserve"> para o dia 6 de novembro de 2017.</w:t>
      </w:r>
    </w:p>
    <w:p w14:paraId="570A3AA0"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As atividades do grupo de trabalho foram integralmente realizadas por meios eletrônicos, de modo que não houve reuniões presenciais do grupo. Apesar disso, considera-se que o trabalho não foi prejudicado, tendo em vista que todos os segmentos registraram suas percepções acerca do relatório, bem como apresentaram propostas de recomendações. Coube ao Coordenador consolidar as percepções e propostas dos membros do grupo de trabalho, promover a articulação necessária com a Relatora, demais membros do grupo de trabalho e demais os entes envolvidos. À Relatora, coube analisar a consolidação e elaborar a minuta deste parecer técnico.</w:t>
      </w:r>
    </w:p>
    <w:p w14:paraId="3E77EC69" w14:textId="24C42B85"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Cabe</w:t>
      </w:r>
      <w:r w:rsidR="0030600C">
        <w:rPr>
          <w:rFonts w:ascii="Times New Roman" w:hAnsi="Times New Roman"/>
          <w:bCs/>
          <w:color w:val="000000"/>
          <w:sz w:val="24"/>
          <w:szCs w:val="24"/>
          <w:lang w:eastAsia="pt-BR"/>
        </w:rPr>
        <w:t xml:space="preserve"> ainda </w:t>
      </w:r>
      <w:r w:rsidRPr="00C84B29">
        <w:rPr>
          <w:rFonts w:ascii="Times New Roman" w:hAnsi="Times New Roman"/>
          <w:bCs/>
          <w:color w:val="000000"/>
          <w:sz w:val="24"/>
          <w:szCs w:val="24"/>
          <w:lang w:eastAsia="pt-BR"/>
        </w:rPr>
        <w:t xml:space="preserve">registrar que o Ministério de Minas e Energia disponibilizou especialistas em segurança de barragens de suas </w:t>
      </w:r>
      <w:r w:rsidR="0030600C">
        <w:rPr>
          <w:rFonts w:ascii="Times New Roman" w:hAnsi="Times New Roman"/>
          <w:bCs/>
          <w:color w:val="000000"/>
          <w:sz w:val="24"/>
          <w:szCs w:val="24"/>
          <w:lang w:eastAsia="pt-BR"/>
        </w:rPr>
        <w:t xml:space="preserve">instituições </w:t>
      </w:r>
      <w:r w:rsidRPr="00C84B29">
        <w:rPr>
          <w:rFonts w:ascii="Times New Roman" w:hAnsi="Times New Roman"/>
          <w:bCs/>
          <w:color w:val="000000"/>
          <w:sz w:val="24"/>
          <w:szCs w:val="24"/>
          <w:lang w:eastAsia="pt-BR"/>
        </w:rPr>
        <w:t>vinculadas para prestar assessoria aos membros do grupo de trabalho, caso solicitado por algum dos membros do grupo de trabalho. Foram indicados para essa função colaboradores do Departamento Nacional de Produção Mineral (DNPM) e de Furnas Centrais Elétricas S.A.</w:t>
      </w:r>
    </w:p>
    <w:p w14:paraId="19B53B48" w14:textId="77777777" w:rsidR="008815EB" w:rsidRDefault="008815EB" w:rsidP="008815EB">
      <w:pPr>
        <w:pStyle w:val="Ttulo1"/>
        <w:rPr>
          <w:rFonts w:ascii="Times New Roman" w:hAnsi="Times New Roman" w:cs="Times New Roman"/>
        </w:rPr>
      </w:pPr>
    </w:p>
    <w:p w14:paraId="58B00967" w14:textId="14C644FE" w:rsidR="008815EB" w:rsidRDefault="008815EB" w:rsidP="008815EB">
      <w:pPr>
        <w:pStyle w:val="Ttulo1"/>
        <w:rPr>
          <w:rFonts w:ascii="Times New Roman" w:hAnsi="Times New Roman" w:cs="Times New Roman"/>
        </w:rPr>
      </w:pPr>
      <w:r>
        <w:rPr>
          <w:rFonts w:ascii="Times New Roman" w:hAnsi="Times New Roman" w:cs="Times New Roman"/>
        </w:rPr>
        <w:t xml:space="preserve">III — </w:t>
      </w:r>
      <w:r w:rsidRPr="00500408">
        <w:rPr>
          <w:rFonts w:ascii="Times New Roman" w:hAnsi="Times New Roman" w:cs="Times New Roman"/>
        </w:rPr>
        <w:t>ANÁLISE</w:t>
      </w:r>
    </w:p>
    <w:p w14:paraId="1551762E" w14:textId="77777777" w:rsidR="0030600C" w:rsidRPr="0030600C" w:rsidRDefault="0030600C" w:rsidP="0030600C"/>
    <w:p w14:paraId="7465A2DC" w14:textId="0385C165" w:rsidR="008815EB" w:rsidRPr="001F02A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1F02A9">
        <w:rPr>
          <w:rFonts w:ascii="Times New Roman" w:hAnsi="Times New Roman"/>
          <w:bCs/>
          <w:color w:val="000000"/>
          <w:sz w:val="24"/>
          <w:szCs w:val="24"/>
          <w:lang w:eastAsia="pt-BR"/>
        </w:rPr>
        <w:t>De modo geral, o relatório abrange todo o conteúdo mínimo exigido na Resolução nº 144, de 2012, contém informações objetivas e estatísticas, análises, identificações das fragilidades e recomendações para a evolução do sistema.</w:t>
      </w:r>
      <w:r>
        <w:rPr>
          <w:rFonts w:ascii="Times New Roman" w:hAnsi="Times New Roman"/>
          <w:bCs/>
          <w:color w:val="000000"/>
          <w:sz w:val="24"/>
          <w:szCs w:val="24"/>
          <w:lang w:eastAsia="pt-BR"/>
        </w:rPr>
        <w:t xml:space="preserve"> </w:t>
      </w:r>
      <w:r w:rsidRPr="001F02A9">
        <w:rPr>
          <w:rFonts w:ascii="Times New Roman" w:hAnsi="Times New Roman"/>
          <w:bCs/>
          <w:color w:val="000000"/>
          <w:sz w:val="24"/>
          <w:szCs w:val="24"/>
          <w:lang w:eastAsia="pt-BR"/>
        </w:rPr>
        <w:t>Porém, algumas observações sobre o relatório e o estágio de evolução do sistema em si</w:t>
      </w:r>
      <w:r w:rsidR="0030600C">
        <w:rPr>
          <w:rFonts w:ascii="Times New Roman" w:hAnsi="Times New Roman"/>
          <w:bCs/>
          <w:color w:val="000000"/>
          <w:sz w:val="24"/>
          <w:szCs w:val="24"/>
          <w:lang w:eastAsia="pt-BR"/>
        </w:rPr>
        <w:t xml:space="preserve">, bem como </w:t>
      </w:r>
      <w:r w:rsidRPr="001F02A9">
        <w:rPr>
          <w:rFonts w:ascii="Times New Roman" w:hAnsi="Times New Roman"/>
          <w:bCs/>
          <w:color w:val="000000"/>
          <w:sz w:val="24"/>
          <w:szCs w:val="24"/>
          <w:lang w:eastAsia="pt-BR"/>
        </w:rPr>
        <w:t xml:space="preserve">sugestões </w:t>
      </w:r>
      <w:r w:rsidR="0030600C">
        <w:rPr>
          <w:rFonts w:ascii="Times New Roman" w:hAnsi="Times New Roman"/>
          <w:bCs/>
          <w:color w:val="000000"/>
          <w:sz w:val="24"/>
          <w:szCs w:val="24"/>
          <w:lang w:eastAsia="pt-BR"/>
        </w:rPr>
        <w:t>e</w:t>
      </w:r>
      <w:r w:rsidRPr="001F02A9">
        <w:rPr>
          <w:rFonts w:ascii="Times New Roman" w:hAnsi="Times New Roman"/>
          <w:bCs/>
          <w:color w:val="000000"/>
          <w:sz w:val="24"/>
          <w:szCs w:val="24"/>
          <w:lang w:eastAsia="pt-BR"/>
        </w:rPr>
        <w:t xml:space="preserve"> recomendações gerais são postas a seguir.</w:t>
      </w:r>
    </w:p>
    <w:p w14:paraId="7A25C815" w14:textId="77777777" w:rsidR="008815EB" w:rsidRPr="0045164C" w:rsidRDefault="008815EB" w:rsidP="00ED2841">
      <w:pPr>
        <w:pStyle w:val="Ttulo2"/>
        <w:spacing w:line="360" w:lineRule="auto"/>
      </w:pPr>
      <w:r>
        <w:lastRenderedPageBreak/>
        <w:t>Em relação ao cadastro de barragens</w:t>
      </w:r>
    </w:p>
    <w:p w14:paraId="1679B8B4" w14:textId="3D58EEF9"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Das informações constantes do cadastro até o momento, contata-se que houve um aumento importante de barragens cadastradas, passando de 17.259 barragens constante no RSB 2015 para 22</w:t>
      </w:r>
      <w:r w:rsidR="0030600C">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920 no RSB 2016. Isso demonstra um esforço positivo no sentido de atendimento da Lei. Porém há considerações visando a evolução, aperfeiçoamento e consolidação:</w:t>
      </w:r>
    </w:p>
    <w:p w14:paraId="56AF9A98" w14:textId="40E7E9EA" w:rsidR="008815EB" w:rsidRPr="0030600C" w:rsidRDefault="008815EB" w:rsidP="0030600C">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30600C">
        <w:rPr>
          <w:rFonts w:ascii="Times New Roman" w:hAnsi="Times New Roman"/>
          <w:bCs/>
          <w:color w:val="000000"/>
          <w:sz w:val="24"/>
          <w:szCs w:val="24"/>
          <w:lang w:eastAsia="pt-BR"/>
        </w:rPr>
        <w:t>Apesar da quantidade de estatísticas apresentadas no Relatório, o cadastro, disponibilizado em formato de planilha no sítio eletrônico da ANA, dispõe de poucas informações acerca das barragens. Constam apenas nome, empreendedor, unidade da federação, munícipio, órgão responsável pela segurança, característica e o uso. Embora o SNISB esteja em fase de implementação, não há razão para a ANA não disponibilizar as informações de que dispõe à sociedade em formato “.</w:t>
      </w:r>
      <w:proofErr w:type="spellStart"/>
      <w:r w:rsidRPr="0030600C">
        <w:rPr>
          <w:rFonts w:ascii="Times New Roman" w:hAnsi="Times New Roman"/>
          <w:bCs/>
          <w:color w:val="000000"/>
          <w:sz w:val="24"/>
          <w:szCs w:val="24"/>
          <w:lang w:eastAsia="pt-BR"/>
        </w:rPr>
        <w:t>xls</w:t>
      </w:r>
      <w:proofErr w:type="spellEnd"/>
      <w:r w:rsidRPr="0030600C">
        <w:rPr>
          <w:rFonts w:ascii="Times New Roman" w:hAnsi="Times New Roman"/>
          <w:bCs/>
          <w:color w:val="000000"/>
          <w:sz w:val="24"/>
          <w:szCs w:val="24"/>
          <w:lang w:eastAsia="pt-BR"/>
        </w:rPr>
        <w:t>” ou similar, dado que a Lei nº 12.334, de 2010, estabelece como um dos princípios básicos do SNISB a garantia de acesso a dados e informações sobre barragens em construção, em operação, bem como acerca das desativadas</w:t>
      </w:r>
      <w:r w:rsidR="0030600C">
        <w:rPr>
          <w:rFonts w:ascii="Times New Roman" w:hAnsi="Times New Roman"/>
          <w:bCs/>
          <w:color w:val="000000"/>
          <w:sz w:val="24"/>
          <w:szCs w:val="24"/>
          <w:lang w:eastAsia="pt-BR"/>
        </w:rPr>
        <w:t xml:space="preserve"> (art. 14, III)</w:t>
      </w:r>
      <w:r w:rsidRPr="0030600C">
        <w:rPr>
          <w:rFonts w:ascii="Times New Roman" w:hAnsi="Times New Roman"/>
          <w:bCs/>
          <w:color w:val="000000"/>
          <w:sz w:val="24"/>
          <w:szCs w:val="24"/>
          <w:lang w:eastAsia="pt-BR"/>
        </w:rPr>
        <w:t>. Ademais, um cadastro robusto e transparente é fundamental para uma adequada gestão da PNSB</w:t>
      </w:r>
      <w:r w:rsidR="0030600C">
        <w:rPr>
          <w:rFonts w:ascii="Times New Roman" w:hAnsi="Times New Roman"/>
          <w:bCs/>
          <w:color w:val="000000"/>
          <w:sz w:val="24"/>
          <w:szCs w:val="24"/>
          <w:lang w:eastAsia="pt-BR"/>
        </w:rPr>
        <w:t>.</w:t>
      </w:r>
    </w:p>
    <w:p w14:paraId="29CAA4D1" w14:textId="0787A375" w:rsidR="008815EB" w:rsidRPr="0030600C" w:rsidRDefault="0030600C" w:rsidP="0030600C">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30600C">
        <w:rPr>
          <w:rFonts w:ascii="Times New Roman" w:hAnsi="Times New Roman"/>
          <w:bCs/>
          <w:color w:val="000000"/>
          <w:sz w:val="24"/>
          <w:szCs w:val="24"/>
          <w:lang w:eastAsia="pt-BR"/>
        </w:rPr>
        <w:t>P</w:t>
      </w:r>
      <w:r w:rsidR="008815EB" w:rsidRPr="0030600C">
        <w:rPr>
          <w:rFonts w:ascii="Times New Roman" w:hAnsi="Times New Roman"/>
          <w:bCs/>
          <w:color w:val="000000"/>
          <w:sz w:val="24"/>
          <w:szCs w:val="24"/>
          <w:lang w:eastAsia="pt-BR"/>
        </w:rPr>
        <w:t xml:space="preserve">ermanece </w:t>
      </w:r>
      <w:r>
        <w:rPr>
          <w:rFonts w:ascii="Times New Roman" w:hAnsi="Times New Roman"/>
          <w:bCs/>
          <w:color w:val="000000"/>
          <w:sz w:val="24"/>
          <w:szCs w:val="24"/>
          <w:lang w:eastAsia="pt-BR"/>
        </w:rPr>
        <w:t xml:space="preserve">ainda </w:t>
      </w:r>
      <w:r w:rsidR="008815EB" w:rsidRPr="0030600C">
        <w:rPr>
          <w:rFonts w:ascii="Times New Roman" w:hAnsi="Times New Roman"/>
          <w:bCs/>
          <w:color w:val="000000"/>
          <w:sz w:val="24"/>
          <w:szCs w:val="24"/>
          <w:lang w:eastAsia="pt-BR"/>
        </w:rPr>
        <w:t xml:space="preserve">a observação do parecer apreciado pelo CNRH em 2016 relativo ao RSB 2015: “Percebe-se a partir do relatório, que existe uma não uniformidade na forma de cadastro por parte dos estados e que essa não uniformidade provoca alguma confusão para compreensão das informações cadastradas”, em especial a categoria “usos múltiplos” é utilizada na grande maioria das barragens (inclusive em barragens notoriamente utilizadas para irrigação), o que dificulta a compreensão da </w:t>
      </w:r>
      <w:r>
        <w:rPr>
          <w:rFonts w:ascii="Times New Roman" w:hAnsi="Times New Roman"/>
          <w:bCs/>
          <w:color w:val="000000"/>
          <w:sz w:val="24"/>
          <w:szCs w:val="24"/>
          <w:lang w:eastAsia="pt-BR"/>
        </w:rPr>
        <w:t>função</w:t>
      </w:r>
      <w:r w:rsidR="008815EB" w:rsidRPr="0030600C">
        <w:rPr>
          <w:rFonts w:ascii="Times New Roman" w:hAnsi="Times New Roman"/>
          <w:bCs/>
          <w:color w:val="000000"/>
          <w:sz w:val="24"/>
          <w:szCs w:val="24"/>
          <w:lang w:eastAsia="pt-BR"/>
        </w:rPr>
        <w:t xml:space="preserve"> prioritária desses empreendimentos. </w:t>
      </w:r>
    </w:p>
    <w:p w14:paraId="4C277B7D" w14:textId="32533F14" w:rsidR="00A611E3" w:rsidRPr="00A611E3" w:rsidRDefault="0030600C" w:rsidP="00AB6572">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A611E3">
        <w:rPr>
          <w:rFonts w:ascii="Times New Roman" w:hAnsi="Times New Roman"/>
          <w:bCs/>
          <w:color w:val="000000"/>
          <w:sz w:val="24"/>
          <w:szCs w:val="24"/>
          <w:lang w:eastAsia="pt-BR"/>
        </w:rPr>
        <w:t xml:space="preserve">Constata-se, a partir </w:t>
      </w:r>
      <w:r w:rsidR="008815EB" w:rsidRPr="00A611E3">
        <w:rPr>
          <w:rFonts w:ascii="Times New Roman" w:hAnsi="Times New Roman"/>
          <w:bCs/>
          <w:color w:val="000000"/>
          <w:sz w:val="24"/>
          <w:szCs w:val="24"/>
          <w:lang w:eastAsia="pt-BR"/>
        </w:rPr>
        <w:t>do relatório</w:t>
      </w:r>
      <w:r w:rsidRPr="00A611E3">
        <w:rPr>
          <w:rFonts w:ascii="Times New Roman" w:hAnsi="Times New Roman"/>
          <w:bCs/>
          <w:color w:val="000000"/>
          <w:sz w:val="24"/>
          <w:szCs w:val="24"/>
          <w:lang w:eastAsia="pt-BR"/>
        </w:rPr>
        <w:t>,</w:t>
      </w:r>
      <w:r w:rsidR="008815EB" w:rsidRPr="00A611E3">
        <w:rPr>
          <w:rFonts w:ascii="Times New Roman" w:hAnsi="Times New Roman"/>
          <w:bCs/>
          <w:color w:val="000000"/>
          <w:sz w:val="24"/>
          <w:szCs w:val="24"/>
          <w:lang w:eastAsia="pt-BR"/>
        </w:rPr>
        <w:t xml:space="preserve"> um enorme passivo </w:t>
      </w:r>
      <w:r w:rsidRPr="00A611E3">
        <w:rPr>
          <w:rFonts w:ascii="Times New Roman" w:hAnsi="Times New Roman"/>
          <w:bCs/>
          <w:color w:val="000000"/>
          <w:sz w:val="24"/>
          <w:szCs w:val="24"/>
          <w:lang w:eastAsia="pt-BR"/>
        </w:rPr>
        <w:t xml:space="preserve">de </w:t>
      </w:r>
      <w:r w:rsidR="008815EB" w:rsidRPr="00A611E3">
        <w:rPr>
          <w:rFonts w:ascii="Times New Roman" w:hAnsi="Times New Roman"/>
          <w:bCs/>
          <w:color w:val="000000"/>
          <w:sz w:val="24"/>
          <w:szCs w:val="24"/>
          <w:lang w:eastAsia="pt-BR"/>
        </w:rPr>
        <w:t xml:space="preserve">informações básicas </w:t>
      </w:r>
      <w:r w:rsidR="00F754C4" w:rsidRPr="00A611E3">
        <w:rPr>
          <w:rFonts w:ascii="Times New Roman" w:hAnsi="Times New Roman"/>
          <w:bCs/>
          <w:color w:val="000000"/>
          <w:sz w:val="24"/>
          <w:szCs w:val="24"/>
          <w:lang w:eastAsia="pt-BR"/>
        </w:rPr>
        <w:t>de detalhamento. A</w:t>
      </w:r>
      <w:r w:rsidR="008815EB" w:rsidRPr="00A611E3">
        <w:rPr>
          <w:rFonts w:ascii="Times New Roman" w:hAnsi="Times New Roman"/>
          <w:bCs/>
          <w:color w:val="000000"/>
          <w:sz w:val="24"/>
          <w:szCs w:val="24"/>
          <w:lang w:eastAsia="pt-BR"/>
        </w:rPr>
        <w:t>penas 19% das barragens puderam ser verificadas quando aos critérios de enquadramento na lei</w:t>
      </w:r>
      <w:r w:rsidR="00F754C4" w:rsidRPr="00A611E3">
        <w:rPr>
          <w:rFonts w:ascii="Times New Roman" w:hAnsi="Times New Roman"/>
          <w:bCs/>
          <w:color w:val="000000"/>
          <w:sz w:val="24"/>
          <w:szCs w:val="24"/>
          <w:lang w:eastAsia="pt-BR"/>
        </w:rPr>
        <w:t xml:space="preserve"> (</w:t>
      </w:r>
      <w:r w:rsidR="008815EB" w:rsidRPr="00A611E3">
        <w:rPr>
          <w:rFonts w:ascii="Times New Roman" w:hAnsi="Times New Roman"/>
          <w:bCs/>
          <w:color w:val="000000"/>
          <w:sz w:val="24"/>
          <w:szCs w:val="24"/>
          <w:lang w:eastAsia="pt-BR"/>
        </w:rPr>
        <w:t xml:space="preserve">15% </w:t>
      </w:r>
      <w:r w:rsidR="00F754C4" w:rsidRPr="00A611E3">
        <w:rPr>
          <w:rFonts w:ascii="Times New Roman" w:hAnsi="Times New Roman"/>
          <w:bCs/>
          <w:color w:val="000000"/>
          <w:sz w:val="24"/>
          <w:szCs w:val="24"/>
          <w:lang w:eastAsia="pt-BR"/>
        </w:rPr>
        <w:t xml:space="preserve">se enquadram e </w:t>
      </w:r>
      <w:r w:rsidR="008815EB" w:rsidRPr="00A611E3">
        <w:rPr>
          <w:rFonts w:ascii="Times New Roman" w:hAnsi="Times New Roman"/>
          <w:bCs/>
          <w:color w:val="000000"/>
          <w:sz w:val="24"/>
          <w:szCs w:val="24"/>
          <w:lang w:eastAsia="pt-BR"/>
        </w:rPr>
        <w:t>4% não</w:t>
      </w:r>
      <w:r w:rsidR="00F754C4" w:rsidRPr="00A611E3">
        <w:rPr>
          <w:rFonts w:ascii="Times New Roman" w:hAnsi="Times New Roman"/>
          <w:bCs/>
          <w:color w:val="000000"/>
          <w:sz w:val="24"/>
          <w:szCs w:val="24"/>
          <w:lang w:eastAsia="pt-BR"/>
        </w:rPr>
        <w:t xml:space="preserve"> se enquadram)</w:t>
      </w:r>
      <w:r w:rsidR="008815EB" w:rsidRPr="00A611E3">
        <w:rPr>
          <w:rFonts w:ascii="Times New Roman" w:hAnsi="Times New Roman"/>
          <w:bCs/>
          <w:color w:val="000000"/>
          <w:sz w:val="24"/>
          <w:szCs w:val="24"/>
          <w:lang w:eastAsia="pt-BR"/>
        </w:rPr>
        <w:t xml:space="preserve">. </w:t>
      </w:r>
      <w:r w:rsidR="00F754C4" w:rsidRPr="00A611E3">
        <w:rPr>
          <w:rFonts w:ascii="Times New Roman" w:hAnsi="Times New Roman"/>
          <w:bCs/>
          <w:color w:val="000000"/>
          <w:sz w:val="24"/>
          <w:szCs w:val="24"/>
          <w:lang w:eastAsia="pt-BR"/>
        </w:rPr>
        <w:t>Portanto, para 81% das barragens cadastradas não há informações disponíveis para fins de classificação. Ademais</w:t>
      </w:r>
      <w:r w:rsidR="008815EB" w:rsidRPr="00A611E3">
        <w:rPr>
          <w:rFonts w:ascii="Times New Roman" w:hAnsi="Times New Roman"/>
          <w:bCs/>
          <w:color w:val="000000"/>
          <w:sz w:val="24"/>
          <w:szCs w:val="24"/>
          <w:lang w:eastAsia="pt-BR"/>
        </w:rPr>
        <w:t xml:space="preserve">, dentre o universo </w:t>
      </w:r>
      <w:r w:rsidR="00F754C4" w:rsidRPr="00A611E3">
        <w:rPr>
          <w:rFonts w:ascii="Times New Roman" w:hAnsi="Times New Roman"/>
          <w:bCs/>
          <w:color w:val="000000"/>
          <w:sz w:val="24"/>
          <w:szCs w:val="24"/>
          <w:lang w:eastAsia="pt-BR"/>
        </w:rPr>
        <w:t>das</w:t>
      </w:r>
      <w:r w:rsidR="008815EB" w:rsidRPr="00A611E3">
        <w:rPr>
          <w:rFonts w:ascii="Times New Roman" w:hAnsi="Times New Roman"/>
          <w:bCs/>
          <w:color w:val="000000"/>
          <w:sz w:val="24"/>
          <w:szCs w:val="24"/>
          <w:lang w:eastAsia="pt-BR"/>
        </w:rPr>
        <w:t xml:space="preserve"> barragens já classificadas, observa-se,</w:t>
      </w:r>
      <w:r w:rsidR="00F754C4" w:rsidRPr="00A611E3">
        <w:rPr>
          <w:rFonts w:ascii="Times New Roman" w:hAnsi="Times New Roman"/>
          <w:bCs/>
          <w:color w:val="000000"/>
          <w:sz w:val="24"/>
          <w:szCs w:val="24"/>
          <w:lang w:eastAsia="pt-BR"/>
        </w:rPr>
        <w:t xml:space="preserve"> por exemplo, que </w:t>
      </w:r>
      <w:r w:rsidR="008815EB" w:rsidRPr="00A611E3">
        <w:rPr>
          <w:rFonts w:ascii="Times New Roman" w:hAnsi="Times New Roman"/>
          <w:bCs/>
          <w:color w:val="000000"/>
          <w:sz w:val="24"/>
          <w:szCs w:val="24"/>
          <w:lang w:eastAsia="pt-BR"/>
        </w:rPr>
        <w:t xml:space="preserve">cerca de 41% das barragens de usos múltiplos não possuem informações sobre altura. </w:t>
      </w:r>
      <w:r w:rsidR="00A611E3" w:rsidRPr="00A611E3">
        <w:rPr>
          <w:rFonts w:ascii="Times New Roman" w:hAnsi="Times New Roman"/>
          <w:bCs/>
          <w:color w:val="000000"/>
          <w:sz w:val="24"/>
          <w:szCs w:val="24"/>
          <w:lang w:eastAsia="pt-BR"/>
        </w:rPr>
        <w:t xml:space="preserve"> O </w:t>
      </w:r>
      <w:r w:rsidR="00A611E3" w:rsidRPr="00A611E3">
        <w:rPr>
          <w:rFonts w:ascii="Times New Roman" w:hAnsi="Times New Roman"/>
          <w:bCs/>
          <w:color w:val="000000"/>
          <w:sz w:val="24"/>
          <w:szCs w:val="24"/>
          <w:lang w:eastAsia="pt-BR"/>
        </w:rPr>
        <w:lastRenderedPageBreak/>
        <w:t>RSB sugere ainda que, muito provavelmente, diversas barragens não foram declaradas para fins de composição do cadastro (p. 80).</w:t>
      </w:r>
    </w:p>
    <w:p w14:paraId="5E21B978" w14:textId="47BECD5A" w:rsidR="008815EB" w:rsidRDefault="00A611E3" w:rsidP="0030600C">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Destaca</w:t>
      </w:r>
      <w:r w:rsidR="008815EB" w:rsidRPr="0030600C">
        <w:rPr>
          <w:rFonts w:ascii="Times New Roman" w:hAnsi="Times New Roman"/>
          <w:bCs/>
          <w:color w:val="000000"/>
          <w:sz w:val="24"/>
          <w:szCs w:val="24"/>
          <w:lang w:eastAsia="pt-BR"/>
        </w:rPr>
        <w:t xml:space="preserve">-se que as principais análises precisam ter como referência o total de barragens enquadradas </w:t>
      </w:r>
      <w:r w:rsidR="00F754C4">
        <w:rPr>
          <w:rFonts w:ascii="Times New Roman" w:hAnsi="Times New Roman"/>
          <w:bCs/>
          <w:color w:val="000000"/>
          <w:sz w:val="24"/>
          <w:szCs w:val="24"/>
          <w:lang w:eastAsia="pt-BR"/>
        </w:rPr>
        <w:t>nos requisitos estabelecidos no parágrafo único da Lei nº 12.334, de 2010</w:t>
      </w:r>
      <w:r w:rsidR="008815EB" w:rsidRPr="0030600C">
        <w:rPr>
          <w:rFonts w:ascii="Times New Roman" w:hAnsi="Times New Roman"/>
          <w:bCs/>
          <w:color w:val="000000"/>
          <w:sz w:val="24"/>
          <w:szCs w:val="24"/>
          <w:lang w:eastAsia="pt-BR"/>
        </w:rPr>
        <w:t xml:space="preserve">, pois </w:t>
      </w:r>
      <w:r w:rsidR="00F754C4">
        <w:rPr>
          <w:rFonts w:ascii="Times New Roman" w:hAnsi="Times New Roman"/>
          <w:bCs/>
          <w:color w:val="000000"/>
          <w:sz w:val="24"/>
          <w:szCs w:val="24"/>
          <w:lang w:eastAsia="pt-BR"/>
        </w:rPr>
        <w:t xml:space="preserve">esse conjunto é o relevante para fins de </w:t>
      </w:r>
      <w:r>
        <w:rPr>
          <w:rFonts w:ascii="Times New Roman" w:hAnsi="Times New Roman"/>
          <w:bCs/>
          <w:color w:val="000000"/>
          <w:sz w:val="24"/>
          <w:szCs w:val="24"/>
          <w:lang w:eastAsia="pt-BR"/>
        </w:rPr>
        <w:t>aferição</w:t>
      </w:r>
      <w:r w:rsidR="00F754C4">
        <w:rPr>
          <w:rFonts w:ascii="Times New Roman" w:hAnsi="Times New Roman"/>
          <w:bCs/>
          <w:color w:val="000000"/>
          <w:sz w:val="24"/>
          <w:szCs w:val="24"/>
          <w:lang w:eastAsia="pt-BR"/>
        </w:rPr>
        <w:t xml:space="preserve"> do estágio de implementação da PNSB.</w:t>
      </w:r>
    </w:p>
    <w:p w14:paraId="4ED51EBD" w14:textId="1E46FADA" w:rsidR="008815EB" w:rsidRPr="00F754C4" w:rsidRDefault="008815EB" w:rsidP="00F754C4">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F754C4">
        <w:rPr>
          <w:rFonts w:ascii="Times New Roman" w:hAnsi="Times New Roman"/>
          <w:bCs/>
          <w:color w:val="000000"/>
          <w:sz w:val="24"/>
          <w:szCs w:val="24"/>
          <w:lang w:eastAsia="pt-BR"/>
        </w:rPr>
        <w:t>O RSB 2016 registra que apenas 14% do total de barragens cadastradas dispõem do respectivo empreendedor identificado (p. 45). Registra também que nem sempre é fácil identificar a figura do “empreendedor”, que é o agente responsável pela segurança da barragem (p. 45). Em relação a esse aspecto, ressalta-se que a Lei nº 12.334, de 2010, define como “empreendedor” não apenas o agente que explora a barragem e o reservatório associado, mas também o agente que detém direito real sobre as terras onde se localizam o empreendimento. Tal entendimento também consta reiterado no art. 2º, inciso IV, da Resolução nº 143, de 10 de julho de 2012, do CNRH.  Dessa forma, deve-se investigar se os entes fiscalizadores de fato estão buscando identificar os proprietários das terras nos casos em que não é possível identificar o agente que explore uma determinada barragem.</w:t>
      </w:r>
    </w:p>
    <w:p w14:paraId="3428C966" w14:textId="77777777" w:rsidR="008815EB" w:rsidRPr="0040755C" w:rsidRDefault="008815EB" w:rsidP="00ED2841">
      <w:pPr>
        <w:pStyle w:val="Ttulo2"/>
        <w:spacing w:line="360" w:lineRule="auto"/>
      </w:pPr>
      <w:r>
        <w:t>Em relação à i</w:t>
      </w:r>
      <w:r w:rsidRPr="0040755C">
        <w:t>mplementação da Política Nacional de Segurança de Barragens</w:t>
      </w:r>
    </w:p>
    <w:p w14:paraId="1BC30EB8"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Consta no resumo executivo do RSB 2016 que seu objetivo é, dentre outros, “apresentar à sociedade um panorama da evolução da segurança das barragens brasileiras” (p. 20). Em relação a esse aspecto, registra-se que, a partir da leitura do relatório, pouco se pode depreender acerca do panorama da evolução da segurança de barragens brasileiras. </w:t>
      </w:r>
    </w:p>
    <w:p w14:paraId="25187952" w14:textId="12B2C98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O Relatório apresenta as tabelas resumo dos órgãos fiscalizadores, </w:t>
      </w:r>
      <w:r w:rsidR="00A611E3">
        <w:rPr>
          <w:rFonts w:ascii="Times New Roman" w:hAnsi="Times New Roman"/>
          <w:bCs/>
          <w:color w:val="000000"/>
          <w:sz w:val="24"/>
          <w:szCs w:val="24"/>
          <w:lang w:eastAsia="pt-BR"/>
        </w:rPr>
        <w:t>nas quais são</w:t>
      </w:r>
      <w:r w:rsidRPr="00C84B29">
        <w:rPr>
          <w:rFonts w:ascii="Times New Roman" w:hAnsi="Times New Roman"/>
          <w:bCs/>
          <w:color w:val="000000"/>
          <w:sz w:val="24"/>
          <w:szCs w:val="24"/>
          <w:lang w:eastAsia="pt-BR"/>
        </w:rPr>
        <w:t xml:space="preserve"> informada</w:t>
      </w:r>
      <w:r w:rsidR="00A611E3">
        <w:rPr>
          <w:rFonts w:ascii="Times New Roman" w:hAnsi="Times New Roman"/>
          <w:bCs/>
          <w:color w:val="000000"/>
          <w:sz w:val="24"/>
          <w:szCs w:val="24"/>
          <w:lang w:eastAsia="pt-BR"/>
        </w:rPr>
        <w:t>s</w:t>
      </w:r>
      <w:r w:rsidRPr="00C84B29">
        <w:rPr>
          <w:rFonts w:ascii="Times New Roman" w:hAnsi="Times New Roman"/>
          <w:bCs/>
          <w:color w:val="000000"/>
          <w:sz w:val="24"/>
          <w:szCs w:val="24"/>
          <w:lang w:eastAsia="pt-BR"/>
        </w:rPr>
        <w:t xml:space="preserve"> a situação da implementação da P</w:t>
      </w:r>
      <w:r w:rsidR="00230B84">
        <w:rPr>
          <w:rFonts w:ascii="Times New Roman" w:hAnsi="Times New Roman"/>
          <w:bCs/>
          <w:color w:val="000000"/>
          <w:sz w:val="24"/>
          <w:szCs w:val="24"/>
          <w:lang w:eastAsia="pt-BR"/>
        </w:rPr>
        <w:t>NSB</w:t>
      </w:r>
      <w:r w:rsidRPr="00C84B29">
        <w:rPr>
          <w:rFonts w:ascii="Times New Roman" w:hAnsi="Times New Roman"/>
          <w:bCs/>
          <w:color w:val="000000"/>
          <w:sz w:val="24"/>
          <w:szCs w:val="24"/>
          <w:lang w:eastAsia="pt-BR"/>
        </w:rPr>
        <w:t xml:space="preserve"> por cada um desses órgãos. </w:t>
      </w:r>
      <w:r w:rsidR="00230B84">
        <w:rPr>
          <w:rFonts w:ascii="Times New Roman" w:hAnsi="Times New Roman"/>
          <w:bCs/>
          <w:color w:val="000000"/>
          <w:sz w:val="24"/>
          <w:szCs w:val="24"/>
          <w:lang w:eastAsia="pt-BR"/>
        </w:rPr>
        <w:t>Ess</w:t>
      </w:r>
      <w:r w:rsidRPr="00C84B29">
        <w:rPr>
          <w:rFonts w:ascii="Times New Roman" w:hAnsi="Times New Roman"/>
          <w:bCs/>
          <w:color w:val="000000"/>
          <w:sz w:val="24"/>
          <w:szCs w:val="24"/>
          <w:lang w:eastAsia="pt-BR"/>
        </w:rPr>
        <w:t>as tabelas atendem a Resolução nº</w:t>
      </w:r>
      <w:r w:rsidR="00230B84">
        <w:rPr>
          <w:rFonts w:ascii="Times New Roman" w:hAnsi="Times New Roman"/>
          <w:bCs/>
          <w:color w:val="000000"/>
          <w:sz w:val="24"/>
          <w:szCs w:val="24"/>
          <w:lang w:eastAsia="pt-BR"/>
        </w:rPr>
        <w:t xml:space="preserve"> </w:t>
      </w:r>
      <w:r w:rsidRPr="00C84B29">
        <w:rPr>
          <w:rFonts w:ascii="Times New Roman" w:hAnsi="Times New Roman"/>
          <w:bCs/>
          <w:color w:val="000000"/>
          <w:sz w:val="24"/>
          <w:szCs w:val="24"/>
          <w:lang w:eastAsia="pt-BR"/>
        </w:rPr>
        <w:t>144</w:t>
      </w:r>
      <w:r w:rsidR="00230B84">
        <w:rPr>
          <w:rFonts w:ascii="Times New Roman" w:hAnsi="Times New Roman"/>
          <w:bCs/>
          <w:color w:val="000000"/>
          <w:sz w:val="24"/>
          <w:szCs w:val="24"/>
          <w:lang w:eastAsia="pt-BR"/>
        </w:rPr>
        <w:t xml:space="preserve">, de </w:t>
      </w:r>
      <w:r w:rsidRPr="00C84B29">
        <w:rPr>
          <w:rFonts w:ascii="Times New Roman" w:hAnsi="Times New Roman"/>
          <w:bCs/>
          <w:color w:val="000000"/>
          <w:sz w:val="24"/>
          <w:szCs w:val="24"/>
          <w:lang w:eastAsia="pt-BR"/>
        </w:rPr>
        <w:t>2012</w:t>
      </w:r>
      <w:r w:rsidR="00230B84">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sobre </w:t>
      </w:r>
      <w:r w:rsidR="00230B84">
        <w:rPr>
          <w:rFonts w:ascii="Times New Roman" w:hAnsi="Times New Roman"/>
          <w:bCs/>
          <w:color w:val="000000"/>
          <w:sz w:val="24"/>
          <w:szCs w:val="24"/>
          <w:lang w:eastAsia="pt-BR"/>
        </w:rPr>
        <w:t>a disponibilização de</w:t>
      </w:r>
      <w:r w:rsidRPr="00C84B29">
        <w:rPr>
          <w:rFonts w:ascii="Times New Roman" w:hAnsi="Times New Roman"/>
          <w:bCs/>
          <w:color w:val="000000"/>
          <w:sz w:val="24"/>
          <w:szCs w:val="24"/>
          <w:lang w:eastAsia="pt-BR"/>
        </w:rPr>
        <w:t xml:space="preserve"> informações por órgão fiscalizador</w:t>
      </w:r>
      <w:r w:rsidR="00230B84">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w:t>
      </w:r>
      <w:r w:rsidR="00230B84">
        <w:rPr>
          <w:rFonts w:ascii="Times New Roman" w:hAnsi="Times New Roman"/>
          <w:bCs/>
          <w:color w:val="000000"/>
          <w:sz w:val="24"/>
          <w:szCs w:val="24"/>
          <w:lang w:eastAsia="pt-BR"/>
        </w:rPr>
        <w:t xml:space="preserve">todavia, </w:t>
      </w:r>
      <w:r w:rsidRPr="00C84B29">
        <w:rPr>
          <w:rFonts w:ascii="Times New Roman" w:hAnsi="Times New Roman"/>
          <w:bCs/>
          <w:color w:val="000000"/>
          <w:sz w:val="24"/>
          <w:szCs w:val="24"/>
          <w:lang w:eastAsia="pt-BR"/>
        </w:rPr>
        <w:t>o RSB realiz</w:t>
      </w:r>
      <w:r w:rsidR="00230B84">
        <w:rPr>
          <w:rFonts w:ascii="Times New Roman" w:hAnsi="Times New Roman"/>
          <w:bCs/>
          <w:color w:val="000000"/>
          <w:sz w:val="24"/>
          <w:szCs w:val="24"/>
          <w:lang w:eastAsia="pt-BR"/>
        </w:rPr>
        <w:t>ou as análises por unidade da federação</w:t>
      </w:r>
      <w:r w:rsidRPr="00C84B29">
        <w:rPr>
          <w:rFonts w:ascii="Times New Roman" w:hAnsi="Times New Roman"/>
          <w:bCs/>
          <w:color w:val="000000"/>
          <w:sz w:val="24"/>
          <w:szCs w:val="24"/>
          <w:lang w:eastAsia="pt-BR"/>
        </w:rPr>
        <w:t xml:space="preserve"> e por uso. Seria interessante que fossem feitos gráficos dos percentuais de implementação de cada item da política por entidade fiscalizadora e por bacia hidrográfica:  percentual das barragens cadastradas que foram classificadas, </w:t>
      </w:r>
      <w:r w:rsidR="00230B84">
        <w:rPr>
          <w:rFonts w:ascii="Times New Roman" w:hAnsi="Times New Roman"/>
          <w:bCs/>
          <w:color w:val="000000"/>
          <w:sz w:val="24"/>
          <w:szCs w:val="24"/>
          <w:lang w:eastAsia="pt-BR"/>
        </w:rPr>
        <w:t xml:space="preserve">percentual das que </w:t>
      </w:r>
      <w:r w:rsidRPr="00C84B29">
        <w:rPr>
          <w:rFonts w:ascii="Times New Roman" w:hAnsi="Times New Roman"/>
          <w:bCs/>
          <w:color w:val="000000"/>
          <w:sz w:val="24"/>
          <w:szCs w:val="24"/>
          <w:lang w:eastAsia="pt-BR"/>
        </w:rPr>
        <w:t>estão regularizadas (</w:t>
      </w:r>
      <w:r w:rsidR="00230B84">
        <w:rPr>
          <w:rFonts w:ascii="Times New Roman" w:hAnsi="Times New Roman"/>
          <w:bCs/>
          <w:color w:val="000000"/>
          <w:sz w:val="24"/>
          <w:szCs w:val="24"/>
          <w:lang w:eastAsia="pt-BR"/>
        </w:rPr>
        <w:t xml:space="preserve">por meio de </w:t>
      </w:r>
      <w:r w:rsidRPr="00C84B29">
        <w:rPr>
          <w:rFonts w:ascii="Times New Roman" w:hAnsi="Times New Roman"/>
          <w:bCs/>
          <w:color w:val="000000"/>
          <w:sz w:val="24"/>
          <w:szCs w:val="24"/>
          <w:lang w:eastAsia="pt-BR"/>
        </w:rPr>
        <w:t xml:space="preserve">outorga, licença, autorização </w:t>
      </w:r>
      <w:proofErr w:type="spellStart"/>
      <w:r w:rsidRPr="00C84B29">
        <w:rPr>
          <w:rFonts w:ascii="Times New Roman" w:hAnsi="Times New Roman"/>
          <w:bCs/>
          <w:color w:val="000000"/>
          <w:sz w:val="24"/>
          <w:szCs w:val="24"/>
          <w:lang w:eastAsia="pt-BR"/>
        </w:rPr>
        <w:t>etc</w:t>
      </w:r>
      <w:proofErr w:type="spellEnd"/>
      <w:r w:rsidR="00230B84">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e dentre as classificadas, o percentual </w:t>
      </w:r>
      <w:r w:rsidRPr="00C84B29">
        <w:rPr>
          <w:rFonts w:ascii="Times New Roman" w:hAnsi="Times New Roman"/>
          <w:bCs/>
          <w:color w:val="000000"/>
          <w:sz w:val="24"/>
          <w:szCs w:val="24"/>
          <w:lang w:eastAsia="pt-BR"/>
        </w:rPr>
        <w:lastRenderedPageBreak/>
        <w:t xml:space="preserve">dentre as que necessitam </w:t>
      </w:r>
      <w:r w:rsidR="00230B84">
        <w:rPr>
          <w:rFonts w:ascii="Times New Roman" w:hAnsi="Times New Roman"/>
          <w:bCs/>
          <w:color w:val="000000"/>
          <w:sz w:val="24"/>
          <w:szCs w:val="24"/>
          <w:lang w:eastAsia="pt-BR"/>
        </w:rPr>
        <w:t xml:space="preserve">de </w:t>
      </w:r>
      <w:r w:rsidRPr="00C84B29">
        <w:rPr>
          <w:rFonts w:ascii="Times New Roman" w:hAnsi="Times New Roman"/>
          <w:bCs/>
          <w:color w:val="000000"/>
          <w:sz w:val="24"/>
          <w:szCs w:val="24"/>
          <w:lang w:eastAsia="pt-BR"/>
        </w:rPr>
        <w:t>P</w:t>
      </w:r>
      <w:r w:rsidR="00230B84">
        <w:rPr>
          <w:rFonts w:ascii="Times New Roman" w:hAnsi="Times New Roman"/>
          <w:bCs/>
          <w:color w:val="000000"/>
          <w:sz w:val="24"/>
          <w:szCs w:val="24"/>
          <w:lang w:eastAsia="pt-BR"/>
        </w:rPr>
        <w:t xml:space="preserve">lano de Segurança de Barragens (PSB), </w:t>
      </w:r>
      <w:r w:rsidRPr="00C84B29">
        <w:rPr>
          <w:rFonts w:ascii="Times New Roman" w:hAnsi="Times New Roman"/>
          <w:bCs/>
          <w:color w:val="000000"/>
          <w:sz w:val="24"/>
          <w:szCs w:val="24"/>
          <w:lang w:eastAsia="pt-BR"/>
        </w:rPr>
        <w:t>P</w:t>
      </w:r>
      <w:r w:rsidR="00230B84">
        <w:rPr>
          <w:rFonts w:ascii="Times New Roman" w:hAnsi="Times New Roman"/>
          <w:bCs/>
          <w:color w:val="000000"/>
          <w:sz w:val="24"/>
          <w:szCs w:val="24"/>
          <w:lang w:eastAsia="pt-BR"/>
        </w:rPr>
        <w:t>lano de Ação de Emergência (PAE)</w:t>
      </w:r>
      <w:r w:rsidRPr="00C84B29">
        <w:rPr>
          <w:rFonts w:ascii="Times New Roman" w:hAnsi="Times New Roman"/>
          <w:bCs/>
          <w:color w:val="000000"/>
          <w:sz w:val="24"/>
          <w:szCs w:val="24"/>
          <w:lang w:eastAsia="pt-BR"/>
        </w:rPr>
        <w:t xml:space="preserve">, </w:t>
      </w:r>
      <w:r w:rsidR="00230B84">
        <w:rPr>
          <w:rFonts w:ascii="Times New Roman" w:hAnsi="Times New Roman"/>
          <w:bCs/>
          <w:color w:val="000000"/>
          <w:sz w:val="24"/>
          <w:szCs w:val="24"/>
          <w:lang w:eastAsia="pt-BR"/>
        </w:rPr>
        <w:t>inspeções e revisões periódicas,</w:t>
      </w:r>
      <w:r w:rsidRPr="00C84B29">
        <w:rPr>
          <w:rFonts w:ascii="Times New Roman" w:hAnsi="Times New Roman"/>
          <w:bCs/>
          <w:color w:val="000000"/>
          <w:sz w:val="24"/>
          <w:szCs w:val="24"/>
          <w:lang w:eastAsia="pt-BR"/>
        </w:rPr>
        <w:t xml:space="preserve"> implementaram ou iniciaram a implementação dessas ações. É interessante que o sistema de informações </w:t>
      </w:r>
      <w:r w:rsidR="00230B84">
        <w:rPr>
          <w:rFonts w:ascii="Times New Roman" w:hAnsi="Times New Roman"/>
          <w:bCs/>
          <w:color w:val="000000"/>
          <w:sz w:val="24"/>
          <w:szCs w:val="24"/>
          <w:lang w:eastAsia="pt-BR"/>
        </w:rPr>
        <w:t>disponibilize todas informações de modo sistematizado</w:t>
      </w:r>
      <w:r w:rsidRPr="00C84B29">
        <w:rPr>
          <w:rFonts w:ascii="Times New Roman" w:hAnsi="Times New Roman"/>
          <w:bCs/>
          <w:color w:val="000000"/>
          <w:sz w:val="24"/>
          <w:szCs w:val="24"/>
          <w:lang w:eastAsia="pt-BR"/>
        </w:rPr>
        <w:t xml:space="preserve">, </w:t>
      </w:r>
      <w:r w:rsidR="00230B84">
        <w:rPr>
          <w:rFonts w:ascii="Times New Roman" w:hAnsi="Times New Roman"/>
          <w:bCs/>
          <w:color w:val="000000"/>
          <w:sz w:val="24"/>
          <w:szCs w:val="24"/>
          <w:lang w:eastAsia="pt-BR"/>
        </w:rPr>
        <w:t>para fins de</w:t>
      </w:r>
      <w:r w:rsidRPr="00C84B29">
        <w:rPr>
          <w:rFonts w:ascii="Times New Roman" w:hAnsi="Times New Roman"/>
          <w:bCs/>
          <w:color w:val="000000"/>
          <w:sz w:val="24"/>
          <w:szCs w:val="24"/>
          <w:lang w:eastAsia="pt-BR"/>
        </w:rPr>
        <w:t xml:space="preserve"> </w:t>
      </w:r>
      <w:r w:rsidR="00230B84">
        <w:rPr>
          <w:rFonts w:ascii="Times New Roman" w:hAnsi="Times New Roman"/>
          <w:bCs/>
          <w:color w:val="000000"/>
          <w:sz w:val="24"/>
          <w:szCs w:val="24"/>
          <w:lang w:eastAsia="pt-BR"/>
        </w:rPr>
        <w:t>f</w:t>
      </w:r>
      <w:r w:rsidRPr="00C84B29">
        <w:rPr>
          <w:rFonts w:ascii="Times New Roman" w:hAnsi="Times New Roman"/>
          <w:bCs/>
          <w:color w:val="000000"/>
          <w:sz w:val="24"/>
          <w:szCs w:val="24"/>
          <w:lang w:eastAsia="pt-BR"/>
        </w:rPr>
        <w:t xml:space="preserve">acilitar as análises. </w:t>
      </w:r>
    </w:p>
    <w:p w14:paraId="36F2F56A" w14:textId="211121C9" w:rsidR="008815EB" w:rsidRPr="00C84B29" w:rsidRDefault="00230B84"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Prosseguindo, as</w:t>
      </w:r>
      <w:r w:rsidR="008815EB" w:rsidRPr="00C84B29">
        <w:rPr>
          <w:rFonts w:ascii="Times New Roman" w:hAnsi="Times New Roman"/>
          <w:bCs/>
          <w:color w:val="000000"/>
          <w:sz w:val="24"/>
          <w:szCs w:val="24"/>
          <w:lang w:eastAsia="pt-BR"/>
        </w:rPr>
        <w:t xml:space="preserve"> análises contidas no relatório dificultam a real compreensão sobre o estágio de desenvolvimento da implementação da PNSB. Ademais, o recorte da grande maioria dos gráficos e tabelas apresentados é em âmbito nacional, dificultando a avaliação de mérito ou de efetividade das políticas, quer seja por bacias hidrográficas, quer seja por unidades da federação.  Soma-se a isso o fato de que a utilização da categoria “usos múltiplos” para a grande maioria das barragens prejudica a avaliação da performance e responsabilidade de segmentos predominantes na gestão dessas barragens, distintamente do que ocorre para as barragens de mineração e de hidrelétricas. </w:t>
      </w:r>
    </w:p>
    <w:p w14:paraId="21BDA6F2" w14:textId="70E39EAE"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Dessa forma</w:t>
      </w:r>
      <w:r w:rsidRPr="00230B84">
        <w:rPr>
          <w:rFonts w:ascii="Times New Roman" w:hAnsi="Times New Roman"/>
          <w:bCs/>
          <w:color w:val="000000"/>
          <w:sz w:val="24"/>
          <w:szCs w:val="24"/>
          <w:lang w:eastAsia="pt-BR"/>
        </w:rPr>
        <w:t>, recomenda-se que sejam desenvolvidos indicadores para medição do estágio de implementação da PNSB, bem como sejam disponibilizadas séries históricas das principais variáveis apuradas, de modo que seja possível a</w:t>
      </w:r>
      <w:r w:rsidR="00230B84">
        <w:rPr>
          <w:rFonts w:ascii="Times New Roman" w:hAnsi="Times New Roman"/>
          <w:bCs/>
          <w:color w:val="000000"/>
          <w:sz w:val="24"/>
          <w:szCs w:val="24"/>
          <w:lang w:eastAsia="pt-BR"/>
        </w:rPr>
        <w:t xml:space="preserve"> visualização clara de sua evolução.</w:t>
      </w:r>
    </w:p>
    <w:p w14:paraId="03BA57AD" w14:textId="20A39215"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Finalmente, o RSB não informa sobre os prazos para implantação da PNSB. Mesmo para os instrumentos que não têm prazo estabelecido, é importante que o RSB apresente</w:t>
      </w:r>
      <w:r w:rsidR="00230B84">
        <w:rPr>
          <w:rFonts w:ascii="Times New Roman" w:hAnsi="Times New Roman"/>
          <w:bCs/>
          <w:color w:val="000000"/>
          <w:sz w:val="24"/>
          <w:szCs w:val="24"/>
          <w:lang w:eastAsia="pt-BR"/>
        </w:rPr>
        <w:t xml:space="preserve"> ao menos</w:t>
      </w:r>
      <w:r w:rsidRPr="00C84B29">
        <w:rPr>
          <w:rFonts w:ascii="Times New Roman" w:hAnsi="Times New Roman"/>
          <w:bCs/>
          <w:color w:val="000000"/>
          <w:sz w:val="24"/>
          <w:szCs w:val="24"/>
          <w:lang w:eastAsia="pt-BR"/>
        </w:rPr>
        <w:t xml:space="preserve"> um cronograma </w:t>
      </w:r>
      <w:r w:rsidR="00230B84">
        <w:rPr>
          <w:rFonts w:ascii="Times New Roman" w:hAnsi="Times New Roman"/>
          <w:bCs/>
          <w:color w:val="000000"/>
          <w:sz w:val="24"/>
          <w:szCs w:val="24"/>
          <w:lang w:eastAsia="pt-BR"/>
        </w:rPr>
        <w:t>esperado de</w:t>
      </w:r>
      <w:r w:rsidRPr="00C84B29">
        <w:rPr>
          <w:rFonts w:ascii="Times New Roman" w:hAnsi="Times New Roman"/>
          <w:bCs/>
          <w:color w:val="000000"/>
          <w:sz w:val="24"/>
          <w:szCs w:val="24"/>
          <w:lang w:eastAsia="pt-BR"/>
        </w:rPr>
        <w:t xml:space="preserve"> implantação.</w:t>
      </w:r>
    </w:p>
    <w:p w14:paraId="1EC23F72" w14:textId="77777777" w:rsidR="008815EB" w:rsidRPr="00500408" w:rsidRDefault="008815EB" w:rsidP="00ED2841">
      <w:pPr>
        <w:pStyle w:val="Ttulo2"/>
        <w:spacing w:line="360" w:lineRule="auto"/>
      </w:pPr>
      <w:r>
        <w:t>Em relação à classificação e ao e</w:t>
      </w:r>
      <w:r w:rsidRPr="00500408">
        <w:t xml:space="preserve">nquadramento </w:t>
      </w:r>
      <w:r>
        <w:t>de barragens na PNSB</w:t>
      </w:r>
      <w:r w:rsidRPr="00500408">
        <w:t xml:space="preserve"> </w:t>
      </w:r>
    </w:p>
    <w:p w14:paraId="752F2806" w14:textId="2297EE82"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O relatório demonstra </w:t>
      </w:r>
      <w:r w:rsidR="007E2D57">
        <w:rPr>
          <w:rFonts w:ascii="Times New Roman" w:hAnsi="Times New Roman"/>
          <w:bCs/>
          <w:color w:val="000000"/>
          <w:sz w:val="24"/>
          <w:szCs w:val="24"/>
          <w:lang w:eastAsia="pt-BR"/>
        </w:rPr>
        <w:t xml:space="preserve">que </w:t>
      </w:r>
      <w:r w:rsidRPr="00C84B29">
        <w:rPr>
          <w:rFonts w:ascii="Times New Roman" w:hAnsi="Times New Roman"/>
          <w:bCs/>
          <w:color w:val="000000"/>
          <w:sz w:val="24"/>
          <w:szCs w:val="24"/>
          <w:lang w:eastAsia="pt-BR"/>
        </w:rPr>
        <w:t>o número de barragens classifica</w:t>
      </w:r>
      <w:r w:rsidR="007E2D57">
        <w:rPr>
          <w:rFonts w:ascii="Times New Roman" w:hAnsi="Times New Roman"/>
          <w:bCs/>
          <w:color w:val="000000"/>
          <w:sz w:val="24"/>
          <w:szCs w:val="24"/>
          <w:lang w:eastAsia="pt-BR"/>
        </w:rPr>
        <w:t>das</w:t>
      </w:r>
      <w:r w:rsidRPr="00C84B29">
        <w:rPr>
          <w:rFonts w:ascii="Times New Roman" w:hAnsi="Times New Roman"/>
          <w:bCs/>
          <w:color w:val="000000"/>
          <w:sz w:val="24"/>
          <w:szCs w:val="24"/>
          <w:lang w:eastAsia="pt-BR"/>
        </w:rPr>
        <w:t xml:space="preserve"> passou de 13% </w:t>
      </w:r>
      <w:r w:rsidR="007E2D57">
        <w:rPr>
          <w:rFonts w:ascii="Times New Roman" w:hAnsi="Times New Roman"/>
          <w:bCs/>
          <w:color w:val="000000"/>
          <w:sz w:val="24"/>
          <w:szCs w:val="24"/>
          <w:lang w:eastAsia="pt-BR"/>
        </w:rPr>
        <w:t>para</w:t>
      </w:r>
      <w:r w:rsidRPr="00C84B29">
        <w:rPr>
          <w:rFonts w:ascii="Times New Roman" w:hAnsi="Times New Roman"/>
          <w:bCs/>
          <w:color w:val="000000"/>
          <w:sz w:val="24"/>
          <w:szCs w:val="24"/>
          <w:lang w:eastAsia="pt-BR"/>
        </w:rPr>
        <w:t xml:space="preserve"> 20%, e que o </w:t>
      </w:r>
      <w:r w:rsidR="007E2D57">
        <w:rPr>
          <w:rFonts w:ascii="Times New Roman" w:hAnsi="Times New Roman"/>
          <w:bCs/>
          <w:color w:val="000000"/>
          <w:sz w:val="24"/>
          <w:szCs w:val="24"/>
          <w:lang w:eastAsia="pt-BR"/>
        </w:rPr>
        <w:t xml:space="preserve">maior </w:t>
      </w:r>
      <w:r w:rsidRPr="00C84B29">
        <w:rPr>
          <w:rFonts w:ascii="Times New Roman" w:hAnsi="Times New Roman"/>
          <w:bCs/>
          <w:color w:val="000000"/>
          <w:sz w:val="24"/>
          <w:szCs w:val="24"/>
          <w:lang w:eastAsia="pt-BR"/>
        </w:rPr>
        <w:t xml:space="preserve">passivo é </w:t>
      </w:r>
      <w:r w:rsidR="007E2D57">
        <w:rPr>
          <w:rFonts w:ascii="Times New Roman" w:hAnsi="Times New Roman"/>
          <w:bCs/>
          <w:color w:val="000000"/>
          <w:sz w:val="24"/>
          <w:szCs w:val="24"/>
          <w:lang w:eastAsia="pt-BR"/>
        </w:rPr>
        <w:t xml:space="preserve">o </w:t>
      </w:r>
      <w:r w:rsidRPr="00C84B29">
        <w:rPr>
          <w:rFonts w:ascii="Times New Roman" w:hAnsi="Times New Roman"/>
          <w:bCs/>
          <w:color w:val="000000"/>
          <w:sz w:val="24"/>
          <w:szCs w:val="24"/>
          <w:lang w:eastAsia="pt-BR"/>
        </w:rPr>
        <w:t>relativo aos usos múltiplos. Porém, considerando que setor elétrico tem 90% das barragens cadastradas classificadas, e que ANA e setor mineraçã</w:t>
      </w:r>
      <w:r w:rsidR="007E2D57">
        <w:rPr>
          <w:rFonts w:ascii="Times New Roman" w:hAnsi="Times New Roman"/>
          <w:bCs/>
          <w:color w:val="000000"/>
          <w:sz w:val="24"/>
          <w:szCs w:val="24"/>
          <w:lang w:eastAsia="pt-BR"/>
        </w:rPr>
        <w:t>o tem 100%, segundo o relatório;</w:t>
      </w:r>
      <w:r w:rsidRPr="00C84B29">
        <w:rPr>
          <w:rFonts w:ascii="Times New Roman" w:hAnsi="Times New Roman"/>
          <w:bCs/>
          <w:color w:val="000000"/>
          <w:sz w:val="24"/>
          <w:szCs w:val="24"/>
          <w:lang w:eastAsia="pt-BR"/>
        </w:rPr>
        <w:t xml:space="preserve"> o grande passivo são as barragens de usos múltiplos</w:t>
      </w:r>
      <w:r w:rsidR="007E2D57">
        <w:rPr>
          <w:rFonts w:ascii="Times New Roman" w:hAnsi="Times New Roman"/>
          <w:bCs/>
          <w:color w:val="000000"/>
          <w:sz w:val="24"/>
          <w:szCs w:val="24"/>
          <w:lang w:eastAsia="pt-BR"/>
        </w:rPr>
        <w:t>, cuja responsabilidade de fiscalização recai sobre os estados.</w:t>
      </w:r>
    </w:p>
    <w:p w14:paraId="2D1F7760" w14:textId="26FC2D67" w:rsidR="008815EB"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Esse passivo de classificação é elevado e demonstra a necessidade de uma articulação com os estados, em especial para estabelecimento de metas para a classificação, lembra</w:t>
      </w:r>
      <w:r w:rsidR="007E2D57">
        <w:rPr>
          <w:rFonts w:ascii="Times New Roman" w:hAnsi="Times New Roman"/>
          <w:bCs/>
          <w:color w:val="000000"/>
          <w:sz w:val="24"/>
          <w:szCs w:val="24"/>
          <w:lang w:eastAsia="pt-BR"/>
        </w:rPr>
        <w:t>ndo que, neste cronograma, devem ser previstas</w:t>
      </w:r>
      <w:r w:rsidRPr="00C84B29">
        <w:rPr>
          <w:rFonts w:ascii="Times New Roman" w:hAnsi="Times New Roman"/>
          <w:bCs/>
          <w:color w:val="000000"/>
          <w:sz w:val="24"/>
          <w:szCs w:val="24"/>
          <w:lang w:eastAsia="pt-BR"/>
        </w:rPr>
        <w:t xml:space="preserve"> futuras e periódicas revisões da classificação.</w:t>
      </w:r>
    </w:p>
    <w:p w14:paraId="01EA60FB" w14:textId="77777777" w:rsidR="007E2D57" w:rsidRPr="007E2D57" w:rsidRDefault="007E2D57" w:rsidP="007E2D57">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lastRenderedPageBreak/>
        <w:t>A Lei nº 12.334</w:t>
      </w:r>
      <w:r>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de 2010</w:t>
      </w:r>
      <w:r>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apresenta um texto contraditório quando </w:t>
      </w:r>
      <w:r>
        <w:rPr>
          <w:rFonts w:ascii="Times New Roman" w:hAnsi="Times New Roman"/>
          <w:bCs/>
          <w:color w:val="000000"/>
          <w:sz w:val="24"/>
          <w:szCs w:val="24"/>
          <w:lang w:eastAsia="pt-BR"/>
        </w:rPr>
        <w:t xml:space="preserve">se </w:t>
      </w:r>
      <w:r w:rsidRPr="00C84B29">
        <w:rPr>
          <w:rFonts w:ascii="Times New Roman" w:hAnsi="Times New Roman"/>
          <w:bCs/>
          <w:color w:val="000000"/>
          <w:sz w:val="24"/>
          <w:szCs w:val="24"/>
          <w:lang w:eastAsia="pt-BR"/>
        </w:rPr>
        <w:t xml:space="preserve">refere às barragens para as quais se aplica, fato que pode gerar diferentes interpretações entre os entes fiscalizadores. Por um lado, a referida Lei pressupõe que todas as barragens devem ser classificadas em relação ao dano potencial, ao risco e ao volume (art. 7º). Por outro, define que os seus dispositivos se aplicam apenas ao grupo de barragens que atendam determinadas características (art. 1º, parágrafo único). Essas características são definidas após a avaliação da barragem. Portanto, vários dispositivos da Lei se aplicam de fato a todas as barragens, apesar da ressalva contida no parágrafo único do seu art. 1º. Dessa forma, fica evidente que a racionalidade da Lei é que todas as barragens devem ser cadastradas, devendo ser aplicadas ações especiais (previstas na lei) àquelas que disponham de algum dos qualificantes descritos nos incisos do art. 1º.  Tal incompatibilidade entre a intenção e o texto da Lei — </w:t>
      </w:r>
      <w:r>
        <w:rPr>
          <w:rFonts w:ascii="Times New Roman" w:hAnsi="Times New Roman"/>
          <w:bCs/>
          <w:color w:val="000000"/>
          <w:sz w:val="24"/>
          <w:szCs w:val="24"/>
          <w:lang w:eastAsia="pt-BR"/>
        </w:rPr>
        <w:t>que</w:t>
      </w:r>
      <w:r w:rsidRPr="00C84B29">
        <w:rPr>
          <w:rFonts w:ascii="Times New Roman" w:hAnsi="Times New Roman"/>
          <w:bCs/>
          <w:color w:val="000000"/>
          <w:sz w:val="24"/>
          <w:szCs w:val="24"/>
          <w:lang w:eastAsia="pt-BR"/>
        </w:rPr>
        <w:t xml:space="preserve"> permite a interpretação de que apenas barragens com determinadas características devem ser cadastradas — pode ser a causa, por exemplo, de vários estados terem informado à ANA baixos números de barragens cadastradas, conforme dispõe o RSB 2016 (p. 100). </w:t>
      </w:r>
    </w:p>
    <w:p w14:paraId="2B3367D5" w14:textId="73B83D0B" w:rsidR="008815EB" w:rsidRPr="00C84B29" w:rsidRDefault="008815EB" w:rsidP="00137C60">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As estatísticas apresentadas podem ser melhoradas se apresentadas por estado, com seus respectivos passivos em termos percentuais. As barragens poderiam ser agrupadas, separando as classificadas com CRI alto</w:t>
      </w:r>
      <w:r w:rsidR="007E2D57">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com e sem informação</w:t>
      </w:r>
      <w:r w:rsidR="007E2D57">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explorando</w:t>
      </w:r>
      <w:r w:rsidR="007E2D57">
        <w:rPr>
          <w:rFonts w:ascii="Times New Roman" w:hAnsi="Times New Roman"/>
          <w:bCs/>
          <w:color w:val="000000"/>
          <w:sz w:val="24"/>
          <w:szCs w:val="24"/>
          <w:lang w:eastAsia="pt-BR"/>
        </w:rPr>
        <w:t>-se</w:t>
      </w:r>
      <w:r w:rsidRPr="00C84B29">
        <w:rPr>
          <w:rFonts w:ascii="Times New Roman" w:hAnsi="Times New Roman"/>
          <w:bCs/>
          <w:color w:val="000000"/>
          <w:sz w:val="24"/>
          <w:szCs w:val="24"/>
          <w:lang w:eastAsia="pt-BR"/>
        </w:rPr>
        <w:t xml:space="preserve"> os elementos dos quadros de classificação de risco da Resolução nº 143</w:t>
      </w:r>
      <w:r>
        <w:rPr>
          <w:rFonts w:ascii="Times New Roman" w:hAnsi="Times New Roman"/>
          <w:bCs/>
          <w:color w:val="000000"/>
          <w:sz w:val="24"/>
          <w:szCs w:val="24"/>
          <w:lang w:eastAsia="pt-BR"/>
        </w:rPr>
        <w:t xml:space="preserve">, de </w:t>
      </w:r>
      <w:r w:rsidRPr="00C84B29">
        <w:rPr>
          <w:rFonts w:ascii="Times New Roman" w:hAnsi="Times New Roman"/>
          <w:bCs/>
          <w:color w:val="000000"/>
          <w:sz w:val="24"/>
          <w:szCs w:val="24"/>
          <w:lang w:eastAsia="pt-BR"/>
        </w:rPr>
        <w:t>2012.</w:t>
      </w:r>
    </w:p>
    <w:p w14:paraId="6E231491" w14:textId="788A4ED3" w:rsidR="008815EB" w:rsidRPr="00C84B29" w:rsidRDefault="00973F8F" w:rsidP="00137C60">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A partir de uma pesquisa realizada no</w:t>
      </w:r>
      <w:r w:rsidRPr="00C84B29">
        <w:rPr>
          <w:rFonts w:ascii="Times New Roman" w:hAnsi="Times New Roman"/>
          <w:bCs/>
          <w:color w:val="000000"/>
          <w:sz w:val="24"/>
          <w:szCs w:val="24"/>
          <w:lang w:eastAsia="pt-BR"/>
        </w:rPr>
        <w:t xml:space="preserve"> cadastro</w:t>
      </w:r>
      <w:r>
        <w:rPr>
          <w:rFonts w:ascii="Times New Roman" w:hAnsi="Times New Roman"/>
          <w:bCs/>
          <w:color w:val="000000"/>
          <w:sz w:val="24"/>
          <w:szCs w:val="24"/>
          <w:lang w:eastAsia="pt-BR"/>
        </w:rPr>
        <w:t xml:space="preserve"> disponibilizado pela ANA em seu sítio eletrônico, constata-se que,</w:t>
      </w:r>
      <w:r w:rsidRPr="00C84B29">
        <w:rPr>
          <w:rFonts w:ascii="Times New Roman" w:hAnsi="Times New Roman"/>
          <w:bCs/>
          <w:color w:val="000000"/>
          <w:sz w:val="24"/>
          <w:szCs w:val="24"/>
          <w:lang w:eastAsia="pt-BR"/>
        </w:rPr>
        <w:t xml:space="preserve"> </w:t>
      </w:r>
      <w:r>
        <w:rPr>
          <w:rFonts w:ascii="Times New Roman" w:hAnsi="Times New Roman"/>
          <w:bCs/>
          <w:color w:val="000000"/>
          <w:sz w:val="24"/>
          <w:szCs w:val="24"/>
          <w:lang w:eastAsia="pt-BR"/>
        </w:rPr>
        <w:t>d</w:t>
      </w:r>
      <w:r w:rsidR="008815EB" w:rsidRPr="00C84B29">
        <w:rPr>
          <w:rFonts w:ascii="Times New Roman" w:hAnsi="Times New Roman"/>
          <w:bCs/>
          <w:color w:val="000000"/>
          <w:sz w:val="24"/>
          <w:szCs w:val="24"/>
          <w:lang w:eastAsia="pt-BR"/>
        </w:rPr>
        <w:t>o total de barragens com as duas classificações</w:t>
      </w:r>
      <w:r>
        <w:rPr>
          <w:rFonts w:ascii="Times New Roman" w:hAnsi="Times New Roman"/>
          <w:bCs/>
          <w:color w:val="000000"/>
          <w:sz w:val="24"/>
          <w:szCs w:val="24"/>
          <w:lang w:eastAsia="pt-BR"/>
        </w:rPr>
        <w:t xml:space="preserve"> (risco e dano potencial)</w:t>
      </w:r>
      <w:r w:rsidR="008815EB" w:rsidRPr="00C84B29">
        <w:rPr>
          <w:rFonts w:ascii="Times New Roman" w:hAnsi="Times New Roman"/>
          <w:bCs/>
          <w:color w:val="000000"/>
          <w:sz w:val="24"/>
          <w:szCs w:val="24"/>
          <w:lang w:eastAsia="pt-BR"/>
        </w:rPr>
        <w:t xml:space="preserve">, 460 barragens com alguma classificação não </w:t>
      </w:r>
      <w:r>
        <w:rPr>
          <w:rFonts w:ascii="Times New Roman" w:hAnsi="Times New Roman"/>
          <w:bCs/>
          <w:color w:val="000000"/>
          <w:sz w:val="24"/>
          <w:szCs w:val="24"/>
          <w:lang w:eastAsia="pt-BR"/>
        </w:rPr>
        <w:t>dispõem de</w:t>
      </w:r>
      <w:r w:rsidR="008815EB" w:rsidRPr="00C84B29">
        <w:rPr>
          <w:rFonts w:ascii="Times New Roman" w:hAnsi="Times New Roman"/>
          <w:bCs/>
          <w:color w:val="000000"/>
          <w:sz w:val="24"/>
          <w:szCs w:val="24"/>
          <w:lang w:eastAsia="pt-BR"/>
        </w:rPr>
        <w:t xml:space="preserve"> informação </w:t>
      </w:r>
      <w:r>
        <w:rPr>
          <w:rFonts w:ascii="Times New Roman" w:hAnsi="Times New Roman"/>
          <w:bCs/>
          <w:color w:val="000000"/>
          <w:sz w:val="24"/>
          <w:szCs w:val="24"/>
          <w:lang w:eastAsia="pt-BR"/>
        </w:rPr>
        <w:t>do</w:t>
      </w:r>
      <w:r w:rsidR="008815EB" w:rsidRPr="00C84B29">
        <w:rPr>
          <w:rFonts w:ascii="Times New Roman" w:hAnsi="Times New Roman"/>
          <w:bCs/>
          <w:color w:val="000000"/>
          <w:sz w:val="24"/>
          <w:szCs w:val="24"/>
          <w:lang w:eastAsia="pt-BR"/>
        </w:rPr>
        <w:t xml:space="preserve"> empreendedor, de um universo de cerca de 4</w:t>
      </w:r>
      <w:r w:rsidR="00137C60">
        <w:rPr>
          <w:rFonts w:ascii="Times New Roman" w:hAnsi="Times New Roman"/>
          <w:bCs/>
          <w:color w:val="000000"/>
          <w:sz w:val="24"/>
          <w:szCs w:val="24"/>
          <w:lang w:eastAsia="pt-BR"/>
        </w:rPr>
        <w:t>.</w:t>
      </w:r>
      <w:r w:rsidR="008815EB" w:rsidRPr="00C84B29">
        <w:rPr>
          <w:rFonts w:ascii="Times New Roman" w:hAnsi="Times New Roman"/>
          <w:bCs/>
          <w:color w:val="000000"/>
          <w:sz w:val="24"/>
          <w:szCs w:val="24"/>
          <w:lang w:eastAsia="pt-BR"/>
        </w:rPr>
        <w:t>500. Embora as barragens com algum tipo de classificação em risco ou dano potencial representem 18% das barragens, cerca de 10% delas não possuem empreendedor conhecido.</w:t>
      </w:r>
    </w:p>
    <w:p w14:paraId="52D8F5BC" w14:textId="65EE2A3B" w:rsidR="008815EB" w:rsidRPr="00C84B29" w:rsidRDefault="008815EB" w:rsidP="00137C60">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Isso m</w:t>
      </w:r>
      <w:r w:rsidR="00137C60">
        <w:rPr>
          <w:rFonts w:ascii="Times New Roman" w:hAnsi="Times New Roman"/>
          <w:bCs/>
          <w:color w:val="000000"/>
          <w:sz w:val="24"/>
          <w:szCs w:val="24"/>
          <w:lang w:eastAsia="pt-BR"/>
        </w:rPr>
        <w:t xml:space="preserve">ostra que são necessárias </w:t>
      </w:r>
      <w:r w:rsidRPr="00137C60">
        <w:rPr>
          <w:rFonts w:ascii="Times New Roman" w:hAnsi="Times New Roman"/>
          <w:bCs/>
          <w:color w:val="000000"/>
          <w:sz w:val="24"/>
          <w:szCs w:val="24"/>
          <w:lang w:eastAsia="pt-BR"/>
        </w:rPr>
        <w:t>ações para suprir essa lacuna do cadastro</w:t>
      </w:r>
      <w:r w:rsidR="00137C60">
        <w:rPr>
          <w:rFonts w:ascii="Times New Roman" w:hAnsi="Times New Roman"/>
          <w:bCs/>
          <w:color w:val="000000"/>
          <w:sz w:val="24"/>
          <w:szCs w:val="24"/>
          <w:lang w:eastAsia="pt-BR"/>
        </w:rPr>
        <w:t>,</w:t>
      </w:r>
      <w:r w:rsidRPr="00137C60">
        <w:rPr>
          <w:rFonts w:ascii="Times New Roman" w:hAnsi="Times New Roman"/>
          <w:bCs/>
          <w:color w:val="000000"/>
          <w:sz w:val="24"/>
          <w:szCs w:val="24"/>
          <w:lang w:eastAsia="pt-BR"/>
        </w:rPr>
        <w:t xml:space="preserve"> </w:t>
      </w:r>
      <w:r w:rsidR="00137C60" w:rsidRPr="00137C60">
        <w:rPr>
          <w:rFonts w:ascii="Times New Roman" w:hAnsi="Times New Roman"/>
          <w:bCs/>
          <w:color w:val="000000"/>
          <w:sz w:val="24"/>
          <w:szCs w:val="24"/>
          <w:lang w:eastAsia="pt-BR"/>
        </w:rPr>
        <w:t>o</w:t>
      </w:r>
      <w:r w:rsidRPr="00137C60">
        <w:rPr>
          <w:rFonts w:ascii="Times New Roman" w:hAnsi="Times New Roman"/>
          <w:bCs/>
          <w:color w:val="000000"/>
          <w:sz w:val="24"/>
          <w:szCs w:val="24"/>
          <w:lang w:eastAsia="pt-BR"/>
        </w:rPr>
        <w:t xml:space="preserve"> </w:t>
      </w:r>
      <w:r w:rsidR="00137C60" w:rsidRPr="00137C60">
        <w:rPr>
          <w:rFonts w:ascii="Times New Roman" w:hAnsi="Times New Roman"/>
          <w:bCs/>
          <w:color w:val="000000"/>
          <w:sz w:val="24"/>
          <w:szCs w:val="24"/>
          <w:lang w:eastAsia="pt-BR"/>
        </w:rPr>
        <w:t>estabelecimento de</w:t>
      </w:r>
      <w:r w:rsidRPr="00137C60">
        <w:rPr>
          <w:rFonts w:ascii="Times New Roman" w:hAnsi="Times New Roman"/>
          <w:bCs/>
          <w:color w:val="000000"/>
          <w:sz w:val="24"/>
          <w:szCs w:val="24"/>
          <w:lang w:eastAsia="pt-BR"/>
        </w:rPr>
        <w:t xml:space="preserve"> critérios e normas, </w:t>
      </w:r>
      <w:r w:rsidR="00137C60">
        <w:rPr>
          <w:rFonts w:ascii="Times New Roman" w:hAnsi="Times New Roman"/>
          <w:bCs/>
          <w:color w:val="000000"/>
          <w:sz w:val="24"/>
          <w:szCs w:val="24"/>
          <w:lang w:eastAsia="pt-BR"/>
        </w:rPr>
        <w:t>além da definição de algum ente</w:t>
      </w:r>
      <w:r w:rsidRPr="00C84B29">
        <w:rPr>
          <w:rFonts w:ascii="Times New Roman" w:hAnsi="Times New Roman"/>
          <w:bCs/>
          <w:color w:val="000000"/>
          <w:sz w:val="24"/>
          <w:szCs w:val="24"/>
          <w:lang w:eastAsia="pt-BR"/>
        </w:rPr>
        <w:t xml:space="preserve"> do sis</w:t>
      </w:r>
      <w:bookmarkStart w:id="0" w:name="_GoBack"/>
      <w:bookmarkEnd w:id="0"/>
      <w:r w:rsidRPr="00C84B29">
        <w:rPr>
          <w:rFonts w:ascii="Times New Roman" w:hAnsi="Times New Roman"/>
          <w:bCs/>
          <w:color w:val="000000"/>
          <w:sz w:val="24"/>
          <w:szCs w:val="24"/>
          <w:lang w:eastAsia="pt-BR"/>
        </w:rPr>
        <w:t xml:space="preserve">tema </w:t>
      </w:r>
      <w:r w:rsidR="00137C60">
        <w:rPr>
          <w:rFonts w:ascii="Times New Roman" w:hAnsi="Times New Roman"/>
          <w:bCs/>
          <w:color w:val="000000"/>
          <w:sz w:val="24"/>
          <w:szCs w:val="24"/>
          <w:lang w:eastAsia="pt-BR"/>
        </w:rPr>
        <w:t xml:space="preserve">para assumir a </w:t>
      </w:r>
      <w:r w:rsidRPr="00C84B29">
        <w:rPr>
          <w:rFonts w:ascii="Times New Roman" w:hAnsi="Times New Roman"/>
          <w:bCs/>
          <w:color w:val="000000"/>
          <w:sz w:val="24"/>
          <w:szCs w:val="24"/>
          <w:lang w:eastAsia="pt-BR"/>
        </w:rPr>
        <w:t xml:space="preserve">responsabilidade por barragens </w:t>
      </w:r>
      <w:r w:rsidR="00137C60">
        <w:rPr>
          <w:rFonts w:ascii="Times New Roman" w:hAnsi="Times New Roman"/>
          <w:bCs/>
          <w:color w:val="000000"/>
          <w:sz w:val="24"/>
          <w:szCs w:val="24"/>
          <w:lang w:eastAsia="pt-BR"/>
        </w:rPr>
        <w:t>“órfãs”</w:t>
      </w:r>
      <w:r w:rsidRPr="00C84B29">
        <w:rPr>
          <w:rFonts w:ascii="Times New Roman" w:hAnsi="Times New Roman"/>
          <w:bCs/>
          <w:color w:val="000000"/>
          <w:sz w:val="24"/>
          <w:szCs w:val="24"/>
          <w:lang w:eastAsia="pt-BR"/>
        </w:rPr>
        <w:t xml:space="preserve">, </w:t>
      </w:r>
      <w:r w:rsidR="00137C60">
        <w:rPr>
          <w:rFonts w:ascii="Times New Roman" w:hAnsi="Times New Roman"/>
          <w:bCs/>
          <w:color w:val="000000"/>
          <w:sz w:val="24"/>
          <w:szCs w:val="24"/>
          <w:lang w:eastAsia="pt-BR"/>
        </w:rPr>
        <w:t>tendo em vista o</w:t>
      </w:r>
      <w:r w:rsidRPr="00C84B29">
        <w:rPr>
          <w:rFonts w:ascii="Times New Roman" w:hAnsi="Times New Roman"/>
          <w:bCs/>
          <w:color w:val="000000"/>
          <w:sz w:val="24"/>
          <w:szCs w:val="24"/>
          <w:lang w:eastAsia="pt-BR"/>
        </w:rPr>
        <w:t xml:space="preserve"> risco de acidentes com consequências graves. </w:t>
      </w:r>
      <w:r w:rsidR="00137C60">
        <w:rPr>
          <w:rFonts w:ascii="Times New Roman" w:hAnsi="Times New Roman"/>
          <w:bCs/>
          <w:color w:val="000000"/>
          <w:sz w:val="24"/>
          <w:szCs w:val="24"/>
          <w:lang w:eastAsia="pt-BR"/>
        </w:rPr>
        <w:t xml:space="preserve">Em síntese: uma regulação acerca desses aspectos </w:t>
      </w:r>
      <w:r w:rsidR="00E437D9">
        <w:rPr>
          <w:rFonts w:ascii="Times New Roman" w:hAnsi="Times New Roman"/>
          <w:bCs/>
          <w:color w:val="000000"/>
          <w:sz w:val="24"/>
          <w:szCs w:val="24"/>
          <w:lang w:eastAsia="pt-BR"/>
        </w:rPr>
        <w:t>é</w:t>
      </w:r>
      <w:r w:rsidR="00137C60">
        <w:rPr>
          <w:rFonts w:ascii="Times New Roman" w:hAnsi="Times New Roman"/>
          <w:bCs/>
          <w:color w:val="000000"/>
          <w:sz w:val="24"/>
          <w:szCs w:val="24"/>
          <w:lang w:eastAsia="pt-BR"/>
        </w:rPr>
        <w:t xml:space="preserve"> necessária.</w:t>
      </w:r>
      <w:r w:rsidRPr="00C84B29">
        <w:rPr>
          <w:rFonts w:ascii="Times New Roman" w:hAnsi="Times New Roman"/>
          <w:bCs/>
          <w:color w:val="000000"/>
          <w:sz w:val="24"/>
          <w:szCs w:val="24"/>
          <w:lang w:eastAsia="pt-BR"/>
        </w:rPr>
        <w:t xml:space="preserve"> </w:t>
      </w:r>
    </w:p>
    <w:p w14:paraId="3DA26D0E" w14:textId="283E5C91" w:rsidR="00BB26D8" w:rsidRPr="00BB26D8" w:rsidRDefault="00BB26D8" w:rsidP="00BB26D8">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BB26D8">
        <w:rPr>
          <w:rFonts w:ascii="Times New Roman" w:hAnsi="Times New Roman"/>
          <w:bCs/>
          <w:color w:val="000000"/>
          <w:sz w:val="24"/>
          <w:szCs w:val="24"/>
          <w:lang w:eastAsia="pt-BR"/>
        </w:rPr>
        <w:lastRenderedPageBreak/>
        <w:t>Durante a elaboração do RSB 2016, a ANA questionou os fiscalizadores sobre quais barragens mais os preocupavam (p. 41). A questão foi aberta e teve baixa adesão na resposta: das 29 entidades fiscalizadoras, apenas 9 responderam, indicando um total de 25 barragens. Apesar disso, o RSB tratou esse fato como "aspecto relevante", registrando ainda que:</w:t>
      </w:r>
    </w:p>
    <w:p w14:paraId="1B3E83D6" w14:textId="77777777" w:rsidR="00BB26D8" w:rsidRPr="00BB26D8" w:rsidRDefault="00BB26D8" w:rsidP="00BB26D8">
      <w:pPr>
        <w:autoSpaceDE w:val="0"/>
        <w:autoSpaceDN w:val="0"/>
        <w:adjustRightInd w:val="0"/>
        <w:spacing w:line="256" w:lineRule="auto"/>
        <w:ind w:left="2268"/>
        <w:jc w:val="both"/>
        <w:rPr>
          <w:rFonts w:ascii="Times New Roman" w:hAnsi="Times New Roman"/>
          <w:sz w:val="22"/>
          <w:szCs w:val="22"/>
        </w:rPr>
      </w:pPr>
      <w:r w:rsidRPr="00BB26D8">
        <w:rPr>
          <w:rFonts w:ascii="Times New Roman" w:hAnsi="Times New Roman"/>
          <w:sz w:val="22"/>
          <w:szCs w:val="22"/>
        </w:rPr>
        <w:t>[...] não necessariamente há correlação entre a Categoria de Risco da barragem e sua indicação como preocupante, mostrando que a classificação conforme matriz do CNRH nem sempre reflete a percepção do órgão fiscalizador a partir de suas avaliações de campo.</w:t>
      </w:r>
    </w:p>
    <w:p w14:paraId="485462BD" w14:textId="77777777" w:rsidR="00BB26D8" w:rsidRPr="00BB26D8" w:rsidRDefault="00BB26D8" w:rsidP="00BB26D8">
      <w:pPr>
        <w:autoSpaceDE w:val="0"/>
        <w:autoSpaceDN w:val="0"/>
        <w:adjustRightInd w:val="0"/>
        <w:spacing w:line="256" w:lineRule="auto"/>
        <w:ind w:left="2268"/>
        <w:jc w:val="both"/>
        <w:rPr>
          <w:rFonts w:ascii="Times New Roman" w:hAnsi="Times New Roman"/>
          <w:sz w:val="22"/>
          <w:szCs w:val="22"/>
        </w:rPr>
      </w:pPr>
      <w:r w:rsidRPr="00BB26D8">
        <w:rPr>
          <w:rFonts w:ascii="Times New Roman" w:hAnsi="Times New Roman"/>
          <w:sz w:val="22"/>
          <w:szCs w:val="22"/>
        </w:rPr>
        <w:t>Espera-se que para os próximos anos essa lista de barragens tenha maior e melhor número de informações, de modo a identificar, a cada ano, quais barragens devem ser priorizadas nas ações de restabelecimento de sua segurança, na visão dos órgãos fiscalizadores.  (p.41)</w:t>
      </w:r>
    </w:p>
    <w:p w14:paraId="685CB6C3" w14:textId="77777777" w:rsidR="00BB26D8" w:rsidRDefault="00BB26D8" w:rsidP="00BB26D8">
      <w:pPr>
        <w:pStyle w:val="Textodecomentrio"/>
        <w:shd w:val="clear" w:color="auto" w:fill="FFFFFF"/>
        <w:jc w:val="both"/>
        <w:rPr>
          <w:rFonts w:ascii="Times New Roman" w:hAnsi="Times New Roman"/>
          <w:color w:val="000000"/>
          <w:sz w:val="24"/>
          <w:szCs w:val="24"/>
        </w:rPr>
      </w:pPr>
    </w:p>
    <w:p w14:paraId="47DC4955" w14:textId="77777777" w:rsidR="00BB26D8" w:rsidRPr="00BB26D8" w:rsidRDefault="00BB26D8" w:rsidP="00BB26D8">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BB26D8">
        <w:rPr>
          <w:rFonts w:ascii="Times New Roman" w:hAnsi="Times New Roman"/>
          <w:bCs/>
          <w:color w:val="000000"/>
          <w:sz w:val="24"/>
          <w:szCs w:val="24"/>
          <w:lang w:eastAsia="pt-BR"/>
        </w:rPr>
        <w:t>Embora tenha sido esclarecido no texto que cada fiscalizador enumerou o problema que considerou como "comprometimento estrutural" — e para isso não houve critério único: cada fiscalizador adotou o que julgou adequado —, não é possível concluir se todos os problemas, de fato, comprometem a segurança.</w:t>
      </w:r>
    </w:p>
    <w:p w14:paraId="68F60A55" w14:textId="1C7F4AD6" w:rsidR="00BB26D8" w:rsidRPr="00BB26D8" w:rsidRDefault="00BB26D8" w:rsidP="00BB26D8">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BB26D8">
        <w:rPr>
          <w:rFonts w:ascii="Times New Roman" w:hAnsi="Times New Roman"/>
          <w:bCs/>
          <w:color w:val="000000"/>
          <w:sz w:val="24"/>
          <w:szCs w:val="24"/>
          <w:lang w:eastAsia="pt-BR"/>
        </w:rPr>
        <w:t>A Resolução nº 144, de 2012, determina que o RSB apresente a relação das barragens que apresentam categoria de risco alto (</w:t>
      </w:r>
      <w:proofErr w:type="spellStart"/>
      <w:r w:rsidRPr="00BB26D8">
        <w:rPr>
          <w:rFonts w:ascii="Times New Roman" w:hAnsi="Times New Roman"/>
          <w:bCs/>
          <w:color w:val="000000"/>
          <w:sz w:val="24"/>
          <w:szCs w:val="24"/>
          <w:lang w:eastAsia="pt-BR"/>
        </w:rPr>
        <w:t>art</w:t>
      </w:r>
      <w:proofErr w:type="spellEnd"/>
      <w:r w:rsidRPr="00BB26D8">
        <w:rPr>
          <w:rFonts w:ascii="Times New Roman" w:hAnsi="Times New Roman"/>
          <w:bCs/>
          <w:color w:val="000000"/>
          <w:sz w:val="24"/>
          <w:szCs w:val="24"/>
          <w:lang w:eastAsia="pt-BR"/>
        </w:rPr>
        <w:t xml:space="preserve"> 7º, III), considerando os critérios de classificação previstos na Resolução nº 143, de 2012. Adicionalmente, esta Resolução faculta aos órgãos fiscalizadores adotarem critérios complementares aos estabelecidos pelo CNRH, desde que tecnicamente justificados (art. 4º, § 1º). Portanto, a apresentação de um quadro que liste as barragens "preocupantes" sem o devido embasamento técnico — e que foram naturalmente interpretadas como de alto risco —, juntamente com a proposição de que tais barragens sejam priorizadas nas ações de restabelecimento de segurança, contraria o referido dispositivo da Resolução nº 143, de 2012.</w:t>
      </w:r>
    </w:p>
    <w:p w14:paraId="47FF31B5" w14:textId="1275B72C" w:rsidR="00BB26D8" w:rsidRPr="00BB26D8" w:rsidRDefault="00BB26D8" w:rsidP="00AB6572">
      <w:pPr>
        <w:numPr>
          <w:ilvl w:val="0"/>
          <w:numId w:val="1"/>
        </w:numPr>
        <w:shd w:val="clear" w:color="auto" w:fill="FFFFFF"/>
        <w:suppressAutoHyphens w:val="0"/>
        <w:snapToGrid w:val="0"/>
        <w:spacing w:after="120" w:line="360" w:lineRule="auto"/>
        <w:ind w:left="0" w:firstLine="0"/>
        <w:jc w:val="both"/>
        <w:rPr>
          <w:rFonts w:ascii="Times New Roman" w:hAnsi="Times New Roman"/>
          <w:color w:val="000000"/>
          <w:sz w:val="24"/>
          <w:szCs w:val="24"/>
        </w:rPr>
      </w:pPr>
      <w:r w:rsidRPr="00BB26D8">
        <w:rPr>
          <w:rFonts w:ascii="Times New Roman" w:hAnsi="Times New Roman"/>
          <w:color w:val="000000"/>
          <w:sz w:val="24"/>
          <w:szCs w:val="24"/>
        </w:rPr>
        <w:t>Obviamente a percepção dos fiscalizadores é relevante e não deve ser tolhida. Contudo, é necessário que a temática de segurança de barragens seja tratada em perspectiva estrutura. Dessa forma, também é relevante que os fiscalizadores apontem as inconsistências metodológicas que resultam em classificações de risco baixo para barragens que na prática preocupam. Tal tipo de informação é essencial para realimentar o processo de classificação com vistas ao seu aperfeiçoamento.</w:t>
      </w:r>
    </w:p>
    <w:p w14:paraId="10685504" w14:textId="77777777" w:rsidR="00BB26D8" w:rsidRDefault="00BB26D8" w:rsidP="00ED2841">
      <w:pPr>
        <w:pStyle w:val="Ttulo2"/>
        <w:spacing w:line="360" w:lineRule="auto"/>
      </w:pPr>
    </w:p>
    <w:p w14:paraId="17B431BF" w14:textId="756DCD42" w:rsidR="008815EB" w:rsidRPr="00500408" w:rsidRDefault="008815EB" w:rsidP="00ED2841">
      <w:pPr>
        <w:pStyle w:val="Ttulo2"/>
        <w:spacing w:line="360" w:lineRule="auto"/>
      </w:pPr>
      <w:r>
        <w:t>Em relação às prin</w:t>
      </w:r>
      <w:r w:rsidRPr="00500408">
        <w:t>cipais ações para melhoria da segurança de barragem implementadas pelos empreendedores</w:t>
      </w:r>
    </w:p>
    <w:p w14:paraId="76E52F25" w14:textId="2254CF96"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O item 6.2 </w:t>
      </w:r>
      <w:r w:rsidR="006C4450">
        <w:rPr>
          <w:rFonts w:ascii="Times New Roman" w:hAnsi="Times New Roman"/>
          <w:bCs/>
          <w:color w:val="000000"/>
          <w:sz w:val="24"/>
          <w:szCs w:val="24"/>
          <w:lang w:eastAsia="pt-BR"/>
        </w:rPr>
        <w:t xml:space="preserve">do RSB 2016 </w:t>
      </w:r>
      <w:r w:rsidRPr="00C84B29">
        <w:rPr>
          <w:rFonts w:ascii="Times New Roman" w:hAnsi="Times New Roman"/>
          <w:bCs/>
          <w:color w:val="000000"/>
          <w:sz w:val="24"/>
          <w:szCs w:val="24"/>
          <w:lang w:eastAsia="pt-BR"/>
        </w:rPr>
        <w:t>cit</w:t>
      </w:r>
      <w:r w:rsidR="006C4450">
        <w:rPr>
          <w:rFonts w:ascii="Times New Roman" w:hAnsi="Times New Roman"/>
          <w:bCs/>
          <w:color w:val="000000"/>
          <w:sz w:val="24"/>
          <w:szCs w:val="24"/>
          <w:lang w:eastAsia="pt-BR"/>
        </w:rPr>
        <w:t>a</w:t>
      </w:r>
      <w:r w:rsidRPr="00C84B29">
        <w:rPr>
          <w:rFonts w:ascii="Times New Roman" w:hAnsi="Times New Roman"/>
          <w:bCs/>
          <w:color w:val="000000"/>
          <w:sz w:val="24"/>
          <w:szCs w:val="24"/>
          <w:lang w:eastAsia="pt-BR"/>
        </w:rPr>
        <w:t xml:space="preserve"> somente a implantação do Plano de Segurança propriamente dito, como RPSB, ISR, ISE e PAE. O item deveria focar em ações de implantação da segurança, como: manutenção, melhorias, recuperações, cronogramas das ações necessárias. Dar ênfase a resolver os problemas encontrados nas inspeções pelos empreendedores. Esta é uma forma de tirar os planos do papel e tentar realmente melhorar a segurança das barragens.</w:t>
      </w:r>
    </w:p>
    <w:p w14:paraId="514E9893" w14:textId="2D502406"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O Relatório mostra que houve um aumento significativo no número de ações implementadas para segurança de barragens pelos empreendedores. Porém considerando o universo de barragens e </w:t>
      </w:r>
      <w:r w:rsidR="00260D9F">
        <w:rPr>
          <w:rFonts w:ascii="Times New Roman" w:hAnsi="Times New Roman"/>
          <w:bCs/>
          <w:color w:val="000000"/>
          <w:sz w:val="24"/>
          <w:szCs w:val="24"/>
          <w:lang w:eastAsia="pt-BR"/>
        </w:rPr>
        <w:t>a falta</w:t>
      </w:r>
      <w:r w:rsidRPr="00C84B29">
        <w:rPr>
          <w:rFonts w:ascii="Times New Roman" w:hAnsi="Times New Roman"/>
          <w:bCs/>
          <w:color w:val="000000"/>
          <w:sz w:val="24"/>
          <w:szCs w:val="24"/>
          <w:lang w:eastAsia="pt-BR"/>
        </w:rPr>
        <w:t xml:space="preserve"> de informações</w:t>
      </w:r>
      <w:r w:rsidR="00260D9F">
        <w:rPr>
          <w:rFonts w:ascii="Times New Roman" w:hAnsi="Times New Roman"/>
          <w:bCs/>
          <w:color w:val="000000"/>
          <w:sz w:val="24"/>
          <w:szCs w:val="24"/>
          <w:lang w:eastAsia="pt-BR"/>
        </w:rPr>
        <w:t xml:space="preserve"> necessárias para a</w:t>
      </w:r>
      <w:r w:rsidRPr="00C84B29">
        <w:rPr>
          <w:rFonts w:ascii="Times New Roman" w:hAnsi="Times New Roman"/>
          <w:bCs/>
          <w:color w:val="000000"/>
          <w:sz w:val="24"/>
          <w:szCs w:val="24"/>
          <w:lang w:eastAsia="pt-BR"/>
        </w:rPr>
        <w:t xml:space="preserve"> classificação, percebe-se que há uma incerteza muito grande ainda sobre qual é o</w:t>
      </w:r>
      <w:r w:rsidR="00260D9F">
        <w:rPr>
          <w:rFonts w:ascii="Times New Roman" w:hAnsi="Times New Roman"/>
          <w:bCs/>
          <w:color w:val="000000"/>
          <w:sz w:val="24"/>
          <w:szCs w:val="24"/>
          <w:lang w:eastAsia="pt-BR"/>
        </w:rPr>
        <w:t xml:space="preserve"> real</w:t>
      </w:r>
      <w:r w:rsidRPr="00C84B29">
        <w:rPr>
          <w:rFonts w:ascii="Times New Roman" w:hAnsi="Times New Roman"/>
          <w:bCs/>
          <w:color w:val="000000"/>
          <w:sz w:val="24"/>
          <w:szCs w:val="24"/>
          <w:lang w:eastAsia="pt-BR"/>
        </w:rPr>
        <w:t xml:space="preserve"> passivo, tanto em termos de risco como em termos estatísticos 1,5 % do universo das barragens abrangidas pela PNSB tem PAE. </w:t>
      </w:r>
    </w:p>
    <w:p w14:paraId="4F401C3D" w14:textId="1238EB73"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P</w:t>
      </w:r>
      <w:r w:rsidR="00C101E2">
        <w:rPr>
          <w:rFonts w:ascii="Times New Roman" w:hAnsi="Times New Roman"/>
          <w:bCs/>
          <w:color w:val="000000"/>
          <w:sz w:val="24"/>
          <w:szCs w:val="24"/>
          <w:lang w:eastAsia="pt-BR"/>
        </w:rPr>
        <w:t>or outro lado</w:t>
      </w:r>
      <w:r w:rsidRPr="00C84B29">
        <w:rPr>
          <w:rFonts w:ascii="Times New Roman" w:hAnsi="Times New Roman"/>
          <w:bCs/>
          <w:color w:val="000000"/>
          <w:sz w:val="24"/>
          <w:szCs w:val="24"/>
          <w:lang w:eastAsia="pt-BR"/>
        </w:rPr>
        <w:t>, percebe-se que o setor que mais avançou na implementação do Planos de Segurança</w:t>
      </w:r>
      <w:r w:rsidR="00C101E2">
        <w:rPr>
          <w:rFonts w:ascii="Times New Roman" w:hAnsi="Times New Roman"/>
          <w:bCs/>
          <w:color w:val="000000"/>
          <w:sz w:val="24"/>
          <w:szCs w:val="24"/>
          <w:lang w:eastAsia="pt-BR"/>
        </w:rPr>
        <w:t xml:space="preserve"> e</w:t>
      </w:r>
      <w:r w:rsidRPr="00C84B29">
        <w:rPr>
          <w:rFonts w:ascii="Times New Roman" w:hAnsi="Times New Roman"/>
          <w:bCs/>
          <w:color w:val="000000"/>
          <w:sz w:val="24"/>
          <w:szCs w:val="24"/>
          <w:lang w:eastAsia="pt-BR"/>
        </w:rPr>
        <w:t xml:space="preserve"> Planos de </w:t>
      </w:r>
      <w:r w:rsidR="00C101E2">
        <w:rPr>
          <w:rFonts w:ascii="Times New Roman" w:hAnsi="Times New Roman"/>
          <w:bCs/>
          <w:color w:val="000000"/>
          <w:sz w:val="24"/>
          <w:szCs w:val="24"/>
          <w:lang w:eastAsia="pt-BR"/>
        </w:rPr>
        <w:t>A</w:t>
      </w:r>
      <w:r w:rsidRPr="00C84B29">
        <w:rPr>
          <w:rFonts w:ascii="Times New Roman" w:hAnsi="Times New Roman"/>
          <w:bCs/>
          <w:color w:val="000000"/>
          <w:sz w:val="24"/>
          <w:szCs w:val="24"/>
          <w:lang w:eastAsia="pt-BR"/>
        </w:rPr>
        <w:t>ção de Emergência foi o de mineração, tanto em termos absol</w:t>
      </w:r>
      <w:r w:rsidR="00C101E2">
        <w:rPr>
          <w:rFonts w:ascii="Times New Roman" w:hAnsi="Times New Roman"/>
          <w:bCs/>
          <w:color w:val="000000"/>
          <w:sz w:val="24"/>
          <w:szCs w:val="24"/>
          <w:lang w:eastAsia="pt-BR"/>
        </w:rPr>
        <w:t>utos como em termos percentuais setoriais</w:t>
      </w:r>
      <w:r w:rsidRPr="00C84B29">
        <w:rPr>
          <w:rFonts w:ascii="Times New Roman" w:hAnsi="Times New Roman"/>
          <w:bCs/>
          <w:color w:val="000000"/>
          <w:sz w:val="24"/>
          <w:szCs w:val="24"/>
          <w:lang w:eastAsia="pt-BR"/>
        </w:rPr>
        <w:t>, e investimento em inspeção de segurança regular. Porém, os usos múltiplos reduziram as inspeções significativamente de 2015 para 2016 (de 342 para 265). Es</w:t>
      </w:r>
      <w:r w:rsidR="00C101E2">
        <w:rPr>
          <w:rFonts w:ascii="Times New Roman" w:hAnsi="Times New Roman"/>
          <w:bCs/>
          <w:color w:val="000000"/>
          <w:sz w:val="24"/>
          <w:szCs w:val="24"/>
          <w:lang w:eastAsia="pt-BR"/>
        </w:rPr>
        <w:t>s</w:t>
      </w:r>
      <w:r w:rsidRPr="00C84B29">
        <w:rPr>
          <w:rFonts w:ascii="Times New Roman" w:hAnsi="Times New Roman"/>
          <w:bCs/>
          <w:color w:val="000000"/>
          <w:sz w:val="24"/>
          <w:szCs w:val="24"/>
          <w:lang w:eastAsia="pt-BR"/>
        </w:rPr>
        <w:t xml:space="preserve">a questão merece um olhar diferenciado e evidencia um gargalo para a segurança. </w:t>
      </w:r>
    </w:p>
    <w:p w14:paraId="69882C05"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De forma geral, são apresentados números sobre a realização de ações pelos empreendedores e sua evolução ao longo dos anos, mas falta a referência sobre as exigências dos órgãos fiscalizadores. Assim, o CNRH não tem como comparar o previsto/necessário com o realizado.</w:t>
      </w:r>
    </w:p>
    <w:p w14:paraId="280DB02F" w14:textId="77777777" w:rsidR="008815EB" w:rsidRPr="0040755C"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40755C">
        <w:rPr>
          <w:rFonts w:ascii="Times New Roman" w:hAnsi="Times New Roman"/>
          <w:bCs/>
          <w:color w:val="000000"/>
          <w:sz w:val="24"/>
          <w:szCs w:val="24"/>
          <w:lang w:eastAsia="pt-BR"/>
        </w:rPr>
        <w:t>Esses passivos indicam a necessidade de medidas a serem implementadas para induzir o aumento do cumprimento da lei, dentre elas, campanhas de informação, capacitação.</w:t>
      </w:r>
    </w:p>
    <w:p w14:paraId="302CB1EC" w14:textId="77777777" w:rsidR="008815EB" w:rsidRPr="00500408" w:rsidRDefault="008815EB" w:rsidP="00ED2841">
      <w:pPr>
        <w:pStyle w:val="Ttulo2"/>
        <w:spacing w:line="360" w:lineRule="auto"/>
      </w:pPr>
      <w:r>
        <w:lastRenderedPageBreak/>
        <w:t>Em relação aos p</w:t>
      </w:r>
      <w:r w:rsidRPr="00500408">
        <w:t>rincipais acidentes e incidentes</w:t>
      </w:r>
    </w:p>
    <w:p w14:paraId="3DB28313" w14:textId="772F5E6B"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O RSB apresenta uma listagem dos incidentes e acidentes, e descreve o principal acidente do período</w:t>
      </w:r>
      <w:r w:rsidR="009D528A">
        <w:rPr>
          <w:rFonts w:ascii="Times New Roman" w:hAnsi="Times New Roman"/>
          <w:bCs/>
          <w:color w:val="000000"/>
          <w:sz w:val="24"/>
          <w:szCs w:val="24"/>
          <w:lang w:eastAsia="pt-BR"/>
        </w:rPr>
        <w:t>: o rompimento da Barragem de Fundão, em Mariana — MG. Todavia, em relação a este acidente, o RSB 2016 apresenta</w:t>
      </w:r>
      <w:r w:rsidR="00AC65CF">
        <w:rPr>
          <w:rFonts w:ascii="Times New Roman" w:hAnsi="Times New Roman"/>
          <w:bCs/>
          <w:color w:val="000000"/>
          <w:sz w:val="24"/>
          <w:szCs w:val="24"/>
          <w:lang w:eastAsia="pt-BR"/>
        </w:rPr>
        <w:t xml:space="preserve"> apenas o relato enca</w:t>
      </w:r>
      <w:r w:rsidR="009D528A">
        <w:rPr>
          <w:rFonts w:ascii="Times New Roman" w:hAnsi="Times New Roman"/>
          <w:bCs/>
          <w:color w:val="000000"/>
          <w:sz w:val="24"/>
          <w:szCs w:val="24"/>
          <w:lang w:eastAsia="pt-BR"/>
        </w:rPr>
        <w:t>minhado pelo órgão fiscalizador, não tendo incorporado o relato do empreendedor, conforme determina a Resolução nº 144, de 2012 (art. 7º, V).</w:t>
      </w:r>
    </w:p>
    <w:p w14:paraId="045B4FAA" w14:textId="5B79367F" w:rsidR="008815EB" w:rsidRPr="00C84B29" w:rsidRDefault="002363AE"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Apesar disso, seria de grande valia que, em casos de grandes acidentes, o RSB apresente também as</w:t>
      </w:r>
      <w:r w:rsidR="008815EB" w:rsidRPr="00C84B29">
        <w:rPr>
          <w:rFonts w:ascii="Times New Roman" w:hAnsi="Times New Roman"/>
          <w:bCs/>
          <w:color w:val="000000"/>
          <w:sz w:val="24"/>
          <w:szCs w:val="24"/>
          <w:lang w:eastAsia="pt-BR"/>
        </w:rPr>
        <w:t xml:space="preserve"> análises de outros órgãos técnicos oficiais. Essa ação permitirá que lições sejam tiradas para que barragens passem a ser melhor monitoradas pelos órgãos do Poder Público e pela sociedade em geral, para além dos processos de </w:t>
      </w:r>
      <w:proofErr w:type="spellStart"/>
      <w:r w:rsidR="008815EB" w:rsidRPr="00C84B29">
        <w:rPr>
          <w:rFonts w:ascii="Times New Roman" w:hAnsi="Times New Roman"/>
          <w:bCs/>
          <w:color w:val="000000"/>
          <w:sz w:val="24"/>
          <w:szCs w:val="24"/>
          <w:lang w:eastAsia="pt-BR"/>
        </w:rPr>
        <w:t>automonitoramento</w:t>
      </w:r>
      <w:proofErr w:type="spellEnd"/>
      <w:r w:rsidR="008815EB" w:rsidRPr="00C84B29">
        <w:rPr>
          <w:rFonts w:ascii="Times New Roman" w:hAnsi="Times New Roman"/>
          <w:bCs/>
          <w:color w:val="000000"/>
          <w:sz w:val="24"/>
          <w:szCs w:val="24"/>
          <w:lang w:eastAsia="pt-BR"/>
        </w:rPr>
        <w:t xml:space="preserve"> já estabelecidos, bem como fornecer</w:t>
      </w:r>
      <w:r>
        <w:rPr>
          <w:rFonts w:ascii="Times New Roman" w:hAnsi="Times New Roman"/>
          <w:bCs/>
          <w:color w:val="000000"/>
          <w:sz w:val="24"/>
          <w:szCs w:val="24"/>
          <w:lang w:eastAsia="pt-BR"/>
        </w:rPr>
        <w:t>á</w:t>
      </w:r>
      <w:r w:rsidR="008815EB" w:rsidRPr="00C84B29">
        <w:rPr>
          <w:rFonts w:ascii="Times New Roman" w:hAnsi="Times New Roman"/>
          <w:bCs/>
          <w:color w:val="000000"/>
          <w:sz w:val="24"/>
          <w:szCs w:val="24"/>
          <w:lang w:eastAsia="pt-BR"/>
        </w:rPr>
        <w:t xml:space="preserve"> elementos para aperfeiçoar a regulamentação de segurança de barragens.</w:t>
      </w:r>
    </w:p>
    <w:p w14:paraId="3E0BE57B" w14:textId="77777777" w:rsidR="008815EB" w:rsidRPr="00500408" w:rsidRDefault="008815EB" w:rsidP="00ED2841">
      <w:pPr>
        <w:pStyle w:val="PargrafodaLista"/>
        <w:spacing w:line="360" w:lineRule="auto"/>
        <w:rPr>
          <w:rFonts w:ascii="Times New Roman" w:eastAsia="MS PGothic" w:hAnsi="Times New Roman" w:cs="Times New Roman"/>
          <w:lang w:eastAsia="ja-JP"/>
        </w:rPr>
      </w:pPr>
    </w:p>
    <w:p w14:paraId="696F666A" w14:textId="668141D1" w:rsidR="008815EB" w:rsidRPr="00500408" w:rsidRDefault="008815EB" w:rsidP="00ED2841">
      <w:pPr>
        <w:pStyle w:val="Ttulo2"/>
        <w:spacing w:line="360" w:lineRule="auto"/>
      </w:pPr>
      <w:r>
        <w:t>Em re</w:t>
      </w:r>
      <w:r w:rsidR="004B5457">
        <w:t>l</w:t>
      </w:r>
      <w:r>
        <w:t>ação aos órgãos fiscalizadores</w:t>
      </w:r>
    </w:p>
    <w:p w14:paraId="71B8DC54" w14:textId="77777777" w:rsidR="008815EB" w:rsidRPr="0040755C" w:rsidRDefault="008815EB" w:rsidP="00ED2841">
      <w:pPr>
        <w:pStyle w:val="Ttulo3"/>
        <w:spacing w:line="360" w:lineRule="auto"/>
        <w:ind w:left="0"/>
      </w:pPr>
      <w:r w:rsidRPr="0040755C">
        <w:t>Regulamentação</w:t>
      </w:r>
    </w:p>
    <w:p w14:paraId="5BE96AF7" w14:textId="38FE9291" w:rsidR="008815EB" w:rsidRPr="00C84B29" w:rsidRDefault="008815EB" w:rsidP="008C5A5F">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Cabe aos órgãos fiscalizadores a emissão de regulamentos direcionados aos empreendedores. </w:t>
      </w:r>
      <w:r w:rsidR="00DA5423">
        <w:rPr>
          <w:rFonts w:ascii="Times New Roman" w:hAnsi="Times New Roman"/>
          <w:bCs/>
          <w:color w:val="000000"/>
          <w:sz w:val="24"/>
          <w:szCs w:val="24"/>
          <w:lang w:eastAsia="pt-BR"/>
        </w:rPr>
        <w:t xml:space="preserve">Apesar disso, das 29 entidades que efetivamente fiscalizam barragens, 13 ainda não publicaram regulamentos. </w:t>
      </w:r>
      <w:r w:rsidR="004B5457">
        <w:rPr>
          <w:rFonts w:ascii="Times New Roman" w:hAnsi="Times New Roman"/>
          <w:bCs/>
          <w:color w:val="000000"/>
          <w:sz w:val="24"/>
          <w:szCs w:val="24"/>
          <w:lang w:eastAsia="pt-BR"/>
        </w:rPr>
        <w:t xml:space="preserve">Apesar disso, </w:t>
      </w:r>
      <w:r w:rsidRPr="00C84B29">
        <w:rPr>
          <w:rFonts w:ascii="Times New Roman" w:hAnsi="Times New Roman"/>
          <w:bCs/>
          <w:color w:val="000000"/>
          <w:sz w:val="24"/>
          <w:szCs w:val="24"/>
          <w:lang w:eastAsia="pt-BR"/>
        </w:rPr>
        <w:t>percebe-se que houve uma evolução significativa para o período de</w:t>
      </w:r>
      <w:r w:rsidR="00DA5423">
        <w:rPr>
          <w:rFonts w:ascii="Times New Roman" w:hAnsi="Times New Roman"/>
          <w:bCs/>
          <w:color w:val="000000"/>
          <w:sz w:val="24"/>
          <w:szCs w:val="24"/>
          <w:lang w:eastAsia="pt-BR"/>
        </w:rPr>
        <w:t xml:space="preserve"> abrangência do</w:t>
      </w:r>
      <w:r w:rsidRPr="00C84B29">
        <w:rPr>
          <w:rFonts w:ascii="Times New Roman" w:hAnsi="Times New Roman"/>
          <w:bCs/>
          <w:color w:val="000000"/>
          <w:sz w:val="24"/>
          <w:szCs w:val="24"/>
          <w:lang w:eastAsia="pt-BR"/>
        </w:rPr>
        <w:t xml:space="preserve"> </w:t>
      </w:r>
      <w:r w:rsidR="00DA5423">
        <w:rPr>
          <w:rFonts w:ascii="Times New Roman" w:hAnsi="Times New Roman"/>
          <w:bCs/>
          <w:color w:val="000000"/>
          <w:sz w:val="24"/>
          <w:szCs w:val="24"/>
          <w:lang w:eastAsia="pt-BR"/>
        </w:rPr>
        <w:t>RSB 2015.</w:t>
      </w:r>
    </w:p>
    <w:p w14:paraId="24B967AA" w14:textId="77777777" w:rsidR="008815EB" w:rsidRPr="00500408" w:rsidRDefault="008815EB" w:rsidP="00ED2841">
      <w:pPr>
        <w:pStyle w:val="Ttulo3"/>
        <w:spacing w:line="360" w:lineRule="auto"/>
        <w:ind w:left="0"/>
      </w:pPr>
      <w:r w:rsidRPr="00500408">
        <w:t>Fiscalização</w:t>
      </w:r>
    </w:p>
    <w:p w14:paraId="77CAA7BE" w14:textId="7777777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É de responsabilidade dos fiscalizadores realização de fiscalização periódica sobre a situação das barragens. Todavia, essas ações, segundo as informações do relatório, ainda são muito tímidas. Somente 19 órgãos do universo de 29 (66%) realizaram vistorias a campo e o universo de barragens vistoriadas representa 4% do total das barragens cadastradas. Sobre a evolução das vistorias, não há informação no cadastro que permita avaliar se as barragens vistoriadas foram vistoriadas pela primeira vez ou se já houve nos anos anteriores fiscalização. Ou seja, o universo das barragens fiscalizadas pode ser menor ainda. </w:t>
      </w:r>
    </w:p>
    <w:p w14:paraId="34920CB3" w14:textId="0B67DAD8"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lastRenderedPageBreak/>
        <w:t xml:space="preserve">Nesse sentido, é importante que o sistema de informações permita avaliar efetivamente </w:t>
      </w:r>
      <w:r w:rsidR="002963A8">
        <w:rPr>
          <w:rFonts w:ascii="Times New Roman" w:hAnsi="Times New Roman"/>
          <w:bCs/>
          <w:color w:val="000000"/>
          <w:sz w:val="24"/>
          <w:szCs w:val="24"/>
          <w:lang w:eastAsia="pt-BR"/>
        </w:rPr>
        <w:t>o</w:t>
      </w:r>
      <w:r w:rsidRPr="00C84B29">
        <w:rPr>
          <w:rFonts w:ascii="Times New Roman" w:hAnsi="Times New Roman"/>
          <w:bCs/>
          <w:color w:val="000000"/>
          <w:sz w:val="24"/>
          <w:szCs w:val="24"/>
          <w:lang w:eastAsia="pt-BR"/>
        </w:rPr>
        <w:t xml:space="preserve"> número de barragens </w:t>
      </w:r>
      <w:r w:rsidR="002963A8">
        <w:rPr>
          <w:rFonts w:ascii="Times New Roman" w:hAnsi="Times New Roman"/>
          <w:bCs/>
          <w:color w:val="000000"/>
          <w:sz w:val="24"/>
          <w:szCs w:val="24"/>
          <w:lang w:eastAsia="pt-BR"/>
        </w:rPr>
        <w:t xml:space="preserve">que </w:t>
      </w:r>
      <w:r w:rsidRPr="00C84B29">
        <w:rPr>
          <w:rFonts w:ascii="Times New Roman" w:hAnsi="Times New Roman"/>
          <w:bCs/>
          <w:color w:val="000000"/>
          <w:sz w:val="24"/>
          <w:szCs w:val="24"/>
          <w:lang w:eastAsia="pt-BR"/>
        </w:rPr>
        <w:t>já passaram por fiscalização. Também não é possível verificar se barragens fiscalizadas são barragens classificadas ou não.</w:t>
      </w:r>
    </w:p>
    <w:p w14:paraId="61FDFF6C" w14:textId="4D3F44E7"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É preciso também identificar as causas do pequeno número de fiscalizações, quais as dificuldades, quais os critérios utilizados pelos órgãos, para poder tecer alguma recomendação que seja indutora de uma </w:t>
      </w:r>
      <w:r w:rsidR="002963A8">
        <w:rPr>
          <w:rFonts w:ascii="Times New Roman" w:hAnsi="Times New Roman"/>
          <w:bCs/>
          <w:color w:val="000000"/>
          <w:sz w:val="24"/>
          <w:szCs w:val="24"/>
          <w:lang w:eastAsia="pt-BR"/>
        </w:rPr>
        <w:t>fiscalização mais efetiva</w:t>
      </w:r>
      <w:r w:rsidRPr="00C84B29">
        <w:rPr>
          <w:rFonts w:ascii="Times New Roman" w:hAnsi="Times New Roman"/>
          <w:bCs/>
          <w:color w:val="000000"/>
          <w:sz w:val="24"/>
          <w:szCs w:val="24"/>
          <w:lang w:eastAsia="pt-BR"/>
        </w:rPr>
        <w:t>.</w:t>
      </w:r>
    </w:p>
    <w:p w14:paraId="683CCE9D" w14:textId="77777777" w:rsidR="008815EB" w:rsidRPr="00500408" w:rsidRDefault="008815EB" w:rsidP="00ED2841">
      <w:pPr>
        <w:pStyle w:val="Ttulo3"/>
        <w:spacing w:line="360" w:lineRule="auto"/>
        <w:ind w:left="0"/>
      </w:pPr>
      <w:r w:rsidRPr="00500408">
        <w:t>Equipe e capacitação</w:t>
      </w:r>
    </w:p>
    <w:p w14:paraId="7FCF4AF4" w14:textId="65FB7312"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Os dados apresentados nas tabelas constantes dos anexos V (Síntese das contribuições dos Estados ao RSB) não revelam a qualificação técnica das equipes, em relação à missão respectiva, e tampouco o grau d</w:t>
      </w:r>
      <w:r w:rsidR="002963A8">
        <w:rPr>
          <w:rFonts w:ascii="Times New Roman" w:hAnsi="Times New Roman"/>
          <w:bCs/>
          <w:color w:val="000000"/>
          <w:sz w:val="24"/>
          <w:szCs w:val="24"/>
          <w:lang w:eastAsia="pt-BR"/>
        </w:rPr>
        <w:t>e comprometimento funcional dessas equipes</w:t>
      </w:r>
      <w:r w:rsidRPr="00C84B29">
        <w:rPr>
          <w:rFonts w:ascii="Times New Roman" w:hAnsi="Times New Roman"/>
          <w:bCs/>
          <w:color w:val="000000"/>
          <w:sz w:val="24"/>
          <w:szCs w:val="24"/>
          <w:lang w:eastAsia="pt-BR"/>
        </w:rPr>
        <w:t xml:space="preserve"> para com a PNSB. </w:t>
      </w:r>
    </w:p>
    <w:p w14:paraId="4E7B5E63" w14:textId="3FD5EE3E"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Da consulta, observa-se que 29 órgãos fiscalizadores já possuem alguma equipe destinada a segurança das barragens, o que demonstra que o sistema, embora jovem, está paulatinamente sendo implantado. Imagina-se (a informação está dispersa e difícil de acessar) que esses 29 sejam os que efetivamente tem barragens declaradas para fiscalizar, conforme análise da própria ANA no RSB</w:t>
      </w:r>
      <w:r w:rsidR="002963A8">
        <w:rPr>
          <w:rFonts w:ascii="Times New Roman" w:hAnsi="Times New Roman"/>
          <w:bCs/>
          <w:color w:val="000000"/>
          <w:sz w:val="24"/>
          <w:szCs w:val="24"/>
          <w:lang w:eastAsia="pt-BR"/>
        </w:rPr>
        <w:t xml:space="preserve"> 2016</w:t>
      </w:r>
      <w:r w:rsidRPr="00C84B29">
        <w:rPr>
          <w:rFonts w:ascii="Times New Roman" w:hAnsi="Times New Roman"/>
          <w:bCs/>
          <w:color w:val="000000"/>
          <w:sz w:val="24"/>
          <w:szCs w:val="24"/>
          <w:lang w:eastAsia="pt-BR"/>
        </w:rPr>
        <w:t>, o que reforça recomendação de que o SNISB deve aprimorado para que facilite essas análises.</w:t>
      </w:r>
    </w:p>
    <w:p w14:paraId="66A2040E" w14:textId="77777777" w:rsidR="008815EB" w:rsidRPr="00500408" w:rsidRDefault="008815EB" w:rsidP="00ED2841">
      <w:pPr>
        <w:pStyle w:val="Ttulo3"/>
        <w:spacing w:line="360" w:lineRule="auto"/>
        <w:ind w:left="0"/>
      </w:pPr>
      <w:r w:rsidRPr="00500408">
        <w:t>Aspectos relevantes sobre fiscalização</w:t>
      </w:r>
    </w:p>
    <w:p w14:paraId="70828664" w14:textId="2B7F1C2F" w:rsidR="008815EB" w:rsidRPr="00CE5D7E"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E5D7E">
        <w:rPr>
          <w:rFonts w:ascii="Times New Roman" w:hAnsi="Times New Roman"/>
          <w:bCs/>
          <w:color w:val="000000"/>
          <w:sz w:val="24"/>
          <w:szCs w:val="24"/>
          <w:lang w:eastAsia="pt-BR"/>
        </w:rPr>
        <w:t xml:space="preserve">O relatório aponta que há fiscalizadores que também são empreendedores de algumas barragens. </w:t>
      </w:r>
      <w:r w:rsidR="002963A8">
        <w:rPr>
          <w:rFonts w:ascii="Times New Roman" w:hAnsi="Times New Roman"/>
          <w:bCs/>
          <w:color w:val="000000"/>
          <w:sz w:val="24"/>
          <w:szCs w:val="24"/>
          <w:lang w:eastAsia="pt-BR"/>
        </w:rPr>
        <w:t>A partir daí, emerge a dúvida acerca dessa possibilidade de autofiscalização, bem como se tais situações deveriam ser objeto de regulamentação específica.</w:t>
      </w:r>
    </w:p>
    <w:p w14:paraId="5A6AAD74" w14:textId="7126E57A" w:rsidR="008815EB" w:rsidRPr="00CE5D7E" w:rsidRDefault="002963A8"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Ademais, o RSB não registra se as fiscalizações realizadas foram conduzidas por equipes devidamente capacitadas para esse tipo de trabalho. De fato, os trabalhos de fiscalização estão sendo conduzidos por profissionais com a devida capacitação? Em outros termos, não há a avaliação de compatibilidade entre capacitação concedida e atividades executadas.</w:t>
      </w:r>
    </w:p>
    <w:p w14:paraId="4772D5EA" w14:textId="77777777" w:rsidR="002963A8" w:rsidRDefault="002963A8" w:rsidP="00ED2841">
      <w:pPr>
        <w:pStyle w:val="Ttulo2"/>
        <w:spacing w:line="360" w:lineRule="auto"/>
      </w:pPr>
    </w:p>
    <w:p w14:paraId="498D102F" w14:textId="46690F0A" w:rsidR="008815EB" w:rsidRPr="00500408" w:rsidRDefault="008815EB" w:rsidP="00ED2841">
      <w:pPr>
        <w:pStyle w:val="Ttulo2"/>
        <w:spacing w:line="360" w:lineRule="auto"/>
      </w:pPr>
      <w:r>
        <w:t>Em relação aos r</w:t>
      </w:r>
      <w:r w:rsidRPr="00500408">
        <w:t>ecursos dos orçamentos fiscais da União e dos Estados</w:t>
      </w:r>
    </w:p>
    <w:p w14:paraId="43B2BB22" w14:textId="23880312"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O RSB não aborda os recursos estaduais investidos. </w:t>
      </w:r>
      <w:r w:rsidR="002963A8">
        <w:rPr>
          <w:rFonts w:ascii="Times New Roman" w:hAnsi="Times New Roman"/>
          <w:bCs/>
          <w:color w:val="000000"/>
          <w:sz w:val="24"/>
          <w:szCs w:val="24"/>
          <w:lang w:eastAsia="pt-BR"/>
        </w:rPr>
        <w:t>Sugere-se</w:t>
      </w:r>
      <w:r w:rsidRPr="00C84B29">
        <w:rPr>
          <w:rFonts w:ascii="Times New Roman" w:hAnsi="Times New Roman"/>
          <w:bCs/>
          <w:color w:val="000000"/>
          <w:sz w:val="24"/>
          <w:szCs w:val="24"/>
          <w:lang w:eastAsia="pt-BR"/>
        </w:rPr>
        <w:t xml:space="preserve"> que sejam detalhados os recursos aplicados e os necessários por </w:t>
      </w:r>
      <w:r w:rsidR="002963A8">
        <w:rPr>
          <w:rFonts w:ascii="Times New Roman" w:hAnsi="Times New Roman"/>
          <w:bCs/>
          <w:color w:val="000000"/>
          <w:sz w:val="24"/>
          <w:szCs w:val="24"/>
          <w:lang w:eastAsia="pt-BR"/>
        </w:rPr>
        <w:t xml:space="preserve">categoria de </w:t>
      </w:r>
      <w:r w:rsidRPr="00C84B29">
        <w:rPr>
          <w:rFonts w:ascii="Times New Roman" w:hAnsi="Times New Roman"/>
          <w:bCs/>
          <w:color w:val="000000"/>
          <w:sz w:val="24"/>
          <w:szCs w:val="24"/>
          <w:lang w:eastAsia="pt-BR"/>
        </w:rPr>
        <w:t xml:space="preserve">atividade </w:t>
      </w:r>
      <w:r w:rsidR="002963A8">
        <w:rPr>
          <w:rFonts w:ascii="Times New Roman" w:hAnsi="Times New Roman"/>
          <w:bCs/>
          <w:color w:val="000000"/>
          <w:sz w:val="24"/>
          <w:szCs w:val="24"/>
          <w:lang w:eastAsia="pt-BR"/>
        </w:rPr>
        <w:t>relacionada à seg</w:t>
      </w:r>
      <w:r w:rsidRPr="00C84B29">
        <w:rPr>
          <w:rFonts w:ascii="Times New Roman" w:hAnsi="Times New Roman"/>
          <w:bCs/>
          <w:color w:val="000000"/>
          <w:sz w:val="24"/>
          <w:szCs w:val="24"/>
          <w:lang w:eastAsia="pt-BR"/>
        </w:rPr>
        <w:t xml:space="preserve">urança de </w:t>
      </w:r>
      <w:r w:rsidR="002963A8">
        <w:rPr>
          <w:rFonts w:ascii="Times New Roman" w:hAnsi="Times New Roman"/>
          <w:bCs/>
          <w:color w:val="000000"/>
          <w:sz w:val="24"/>
          <w:szCs w:val="24"/>
          <w:lang w:eastAsia="pt-BR"/>
        </w:rPr>
        <w:t>b</w:t>
      </w:r>
      <w:r w:rsidRPr="00C84B29">
        <w:rPr>
          <w:rFonts w:ascii="Times New Roman" w:hAnsi="Times New Roman"/>
          <w:bCs/>
          <w:color w:val="000000"/>
          <w:sz w:val="24"/>
          <w:szCs w:val="24"/>
          <w:lang w:eastAsia="pt-BR"/>
        </w:rPr>
        <w:t>arragens (</w:t>
      </w:r>
      <w:r w:rsidR="002963A8">
        <w:rPr>
          <w:rFonts w:ascii="Times New Roman" w:hAnsi="Times New Roman"/>
          <w:bCs/>
          <w:color w:val="000000"/>
          <w:sz w:val="24"/>
          <w:szCs w:val="24"/>
          <w:lang w:eastAsia="pt-BR"/>
        </w:rPr>
        <w:t>f</w:t>
      </w:r>
      <w:r w:rsidRPr="00C84B29">
        <w:rPr>
          <w:rFonts w:ascii="Times New Roman" w:hAnsi="Times New Roman"/>
          <w:bCs/>
          <w:color w:val="000000"/>
          <w:sz w:val="24"/>
          <w:szCs w:val="24"/>
          <w:lang w:eastAsia="pt-BR"/>
        </w:rPr>
        <w:t>iscalização</w:t>
      </w:r>
      <w:r>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w:t>
      </w:r>
      <w:r w:rsidR="002963A8">
        <w:rPr>
          <w:rFonts w:ascii="Times New Roman" w:hAnsi="Times New Roman"/>
          <w:bCs/>
          <w:color w:val="000000"/>
          <w:sz w:val="24"/>
          <w:szCs w:val="24"/>
          <w:lang w:eastAsia="pt-BR"/>
        </w:rPr>
        <w:t>gestão, o</w:t>
      </w:r>
      <w:r w:rsidRPr="00C84B29">
        <w:rPr>
          <w:rFonts w:ascii="Times New Roman" w:hAnsi="Times New Roman"/>
          <w:bCs/>
          <w:color w:val="000000"/>
          <w:sz w:val="24"/>
          <w:szCs w:val="24"/>
          <w:lang w:eastAsia="pt-BR"/>
        </w:rPr>
        <w:t>peração</w:t>
      </w:r>
      <w:r w:rsidR="002963A8">
        <w:rPr>
          <w:rFonts w:ascii="Times New Roman" w:hAnsi="Times New Roman"/>
          <w:bCs/>
          <w:color w:val="000000"/>
          <w:sz w:val="24"/>
          <w:szCs w:val="24"/>
          <w:lang w:eastAsia="pt-BR"/>
        </w:rPr>
        <w:t>,</w:t>
      </w:r>
      <w:r w:rsidRPr="00C84B29">
        <w:rPr>
          <w:rFonts w:ascii="Times New Roman" w:hAnsi="Times New Roman"/>
          <w:bCs/>
          <w:color w:val="000000"/>
          <w:sz w:val="24"/>
          <w:szCs w:val="24"/>
          <w:lang w:eastAsia="pt-BR"/>
        </w:rPr>
        <w:t xml:space="preserve"> </w:t>
      </w:r>
      <w:r w:rsidR="002963A8">
        <w:rPr>
          <w:rFonts w:ascii="Times New Roman" w:hAnsi="Times New Roman"/>
          <w:bCs/>
          <w:color w:val="000000"/>
          <w:sz w:val="24"/>
          <w:szCs w:val="24"/>
          <w:lang w:eastAsia="pt-BR"/>
        </w:rPr>
        <w:t>m</w:t>
      </w:r>
      <w:r w:rsidRPr="00C84B29">
        <w:rPr>
          <w:rFonts w:ascii="Times New Roman" w:hAnsi="Times New Roman"/>
          <w:bCs/>
          <w:color w:val="000000"/>
          <w:sz w:val="24"/>
          <w:szCs w:val="24"/>
          <w:lang w:eastAsia="pt-BR"/>
        </w:rPr>
        <w:t>anutenção</w:t>
      </w:r>
      <w:r w:rsidR="002963A8">
        <w:rPr>
          <w:rFonts w:ascii="Times New Roman" w:hAnsi="Times New Roman"/>
          <w:bCs/>
          <w:color w:val="000000"/>
          <w:sz w:val="24"/>
          <w:szCs w:val="24"/>
          <w:lang w:eastAsia="pt-BR"/>
        </w:rPr>
        <w:t xml:space="preserve"> e r</w:t>
      </w:r>
      <w:r w:rsidRPr="00C84B29">
        <w:rPr>
          <w:rFonts w:ascii="Times New Roman" w:hAnsi="Times New Roman"/>
          <w:bCs/>
          <w:color w:val="000000"/>
          <w:sz w:val="24"/>
          <w:szCs w:val="24"/>
          <w:lang w:eastAsia="pt-BR"/>
        </w:rPr>
        <w:t>ecuperação), bem como os critérios para a estimativa dos recursos necessários.</w:t>
      </w:r>
    </w:p>
    <w:p w14:paraId="3AC1DBF2" w14:textId="77777777" w:rsidR="008815EB" w:rsidRPr="00500408" w:rsidRDefault="008815EB" w:rsidP="00ED2841">
      <w:pPr>
        <w:spacing w:line="360" w:lineRule="auto"/>
        <w:rPr>
          <w:rFonts w:ascii="Times New Roman" w:hAnsi="Times New Roman"/>
          <w:sz w:val="24"/>
          <w:szCs w:val="24"/>
        </w:rPr>
      </w:pPr>
    </w:p>
    <w:p w14:paraId="3A1FAF87" w14:textId="77777777" w:rsidR="008815EB" w:rsidRPr="00500408" w:rsidRDefault="008815EB" w:rsidP="00ED2841">
      <w:pPr>
        <w:pStyle w:val="Ttulo2"/>
        <w:spacing w:line="360" w:lineRule="auto"/>
      </w:pPr>
      <w:r>
        <w:t>Em relação aos a</w:t>
      </w:r>
      <w:r w:rsidRPr="00CE5D7E">
        <w:t>spectos</w:t>
      </w:r>
      <w:r w:rsidRPr="00500408">
        <w:t xml:space="preserve"> </w:t>
      </w:r>
      <w:r>
        <w:t>g</w:t>
      </w:r>
      <w:r w:rsidRPr="00500408">
        <w:t>erais</w:t>
      </w:r>
    </w:p>
    <w:p w14:paraId="6C9D94FF" w14:textId="66876205"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Os passivos observados no RSB</w:t>
      </w:r>
      <w:r w:rsidR="002963A8">
        <w:rPr>
          <w:rFonts w:ascii="Times New Roman" w:hAnsi="Times New Roman"/>
          <w:bCs/>
          <w:color w:val="000000"/>
          <w:sz w:val="24"/>
          <w:szCs w:val="24"/>
          <w:lang w:eastAsia="pt-BR"/>
        </w:rPr>
        <w:t xml:space="preserve"> 2016</w:t>
      </w:r>
      <w:r w:rsidRPr="00C84B29">
        <w:rPr>
          <w:rFonts w:ascii="Times New Roman" w:hAnsi="Times New Roman"/>
          <w:bCs/>
          <w:color w:val="000000"/>
          <w:sz w:val="24"/>
          <w:szCs w:val="24"/>
          <w:lang w:eastAsia="pt-BR"/>
        </w:rPr>
        <w:t xml:space="preserve"> com relação </w:t>
      </w:r>
      <w:r w:rsidR="002963A8">
        <w:rPr>
          <w:rFonts w:ascii="Times New Roman" w:hAnsi="Times New Roman"/>
          <w:bCs/>
          <w:color w:val="000000"/>
          <w:sz w:val="24"/>
          <w:szCs w:val="24"/>
          <w:lang w:eastAsia="pt-BR"/>
        </w:rPr>
        <w:t>à</w:t>
      </w:r>
      <w:r w:rsidRPr="00C84B29">
        <w:rPr>
          <w:rFonts w:ascii="Times New Roman" w:hAnsi="Times New Roman"/>
          <w:bCs/>
          <w:color w:val="000000"/>
          <w:sz w:val="24"/>
          <w:szCs w:val="24"/>
          <w:lang w:eastAsia="pt-BR"/>
        </w:rPr>
        <w:t xml:space="preserve"> implementação da </w:t>
      </w:r>
      <w:r w:rsidR="002963A8">
        <w:rPr>
          <w:rFonts w:ascii="Times New Roman" w:hAnsi="Times New Roman"/>
          <w:bCs/>
          <w:color w:val="000000"/>
          <w:sz w:val="24"/>
          <w:szCs w:val="24"/>
          <w:lang w:eastAsia="pt-BR"/>
        </w:rPr>
        <w:t>PNSB</w:t>
      </w:r>
      <w:r w:rsidRPr="00C84B29">
        <w:rPr>
          <w:rFonts w:ascii="Times New Roman" w:hAnsi="Times New Roman"/>
          <w:bCs/>
          <w:color w:val="000000"/>
          <w:sz w:val="24"/>
          <w:szCs w:val="24"/>
          <w:lang w:eastAsia="pt-BR"/>
        </w:rPr>
        <w:t xml:space="preserve"> demonstram que, além da necessidade de maior investimento em treinamento e capacitação, há necessidade de estabelecimento e </w:t>
      </w:r>
      <w:proofErr w:type="spellStart"/>
      <w:r w:rsidRPr="00C84B29">
        <w:rPr>
          <w:rFonts w:ascii="Times New Roman" w:hAnsi="Times New Roman"/>
          <w:bCs/>
          <w:color w:val="000000"/>
          <w:sz w:val="24"/>
          <w:szCs w:val="24"/>
          <w:lang w:eastAsia="pt-BR"/>
        </w:rPr>
        <w:t>pactuação</w:t>
      </w:r>
      <w:proofErr w:type="spellEnd"/>
      <w:r w:rsidRPr="00C84B29">
        <w:rPr>
          <w:rFonts w:ascii="Times New Roman" w:hAnsi="Times New Roman"/>
          <w:bCs/>
          <w:color w:val="000000"/>
          <w:sz w:val="24"/>
          <w:szCs w:val="24"/>
          <w:lang w:eastAsia="pt-BR"/>
        </w:rPr>
        <w:t xml:space="preserve"> de metas para serem cumpridas pelos empreendedores e órgãos fiscalizadores, além das já estabelecidas a nível do PROGESTAO.</w:t>
      </w:r>
    </w:p>
    <w:p w14:paraId="7469FB5C" w14:textId="5C8E9058"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A ANA incluiu, além das conclusões, um capítulo de recomendações (Cap. 10). Como a ANA não tem ascensão hierárquica sobre os demais fiscalizadores, entendemos que vale o CNRH </w:t>
      </w:r>
      <w:r w:rsidR="002963A8">
        <w:rPr>
          <w:rFonts w:ascii="Times New Roman" w:hAnsi="Times New Roman"/>
          <w:bCs/>
          <w:color w:val="000000"/>
          <w:sz w:val="24"/>
          <w:szCs w:val="24"/>
          <w:lang w:eastAsia="pt-BR"/>
        </w:rPr>
        <w:t xml:space="preserve">apreciá-las e </w:t>
      </w:r>
      <w:r w:rsidRPr="00C84B29">
        <w:rPr>
          <w:rFonts w:ascii="Times New Roman" w:hAnsi="Times New Roman"/>
          <w:bCs/>
          <w:color w:val="000000"/>
          <w:sz w:val="24"/>
          <w:szCs w:val="24"/>
          <w:lang w:eastAsia="pt-BR"/>
        </w:rPr>
        <w:t>dar consequência a algumas delas, já que é sua competência zelar pela implementação da PNSB.</w:t>
      </w:r>
    </w:p>
    <w:p w14:paraId="20DCFB06" w14:textId="54B1DC7D"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A adoção de resoluções, deliberações normativas, portarias e outras normas estaduais não necessariamente deveria significar um fator condicionante da performance ou avaliação de performance dos órgãos estaduais fiscalizadores no cumprimento da fiscalização e cadastramento de barragens. No caso de sistema ou sistemas (gerais ou setoriais) de segurança e cadastramento de barragens, </w:t>
      </w:r>
      <w:r w:rsidR="002963A8">
        <w:rPr>
          <w:rFonts w:ascii="Times New Roman" w:hAnsi="Times New Roman"/>
          <w:bCs/>
          <w:color w:val="000000"/>
          <w:sz w:val="24"/>
          <w:szCs w:val="24"/>
          <w:lang w:eastAsia="pt-BR"/>
        </w:rPr>
        <w:t>atos emitidos na esfera</w:t>
      </w:r>
      <w:r w:rsidRPr="00C84B29">
        <w:rPr>
          <w:rFonts w:ascii="Times New Roman" w:hAnsi="Times New Roman"/>
          <w:bCs/>
          <w:color w:val="000000"/>
          <w:sz w:val="24"/>
          <w:szCs w:val="24"/>
          <w:lang w:eastAsia="pt-BR"/>
        </w:rPr>
        <w:t xml:space="preserve"> federa</w:t>
      </w:r>
      <w:r w:rsidR="002963A8">
        <w:rPr>
          <w:rFonts w:ascii="Times New Roman" w:hAnsi="Times New Roman"/>
          <w:bCs/>
          <w:color w:val="000000"/>
          <w:sz w:val="24"/>
          <w:szCs w:val="24"/>
          <w:lang w:eastAsia="pt-BR"/>
        </w:rPr>
        <w:t>l</w:t>
      </w:r>
      <w:r w:rsidRPr="00C84B29">
        <w:rPr>
          <w:rFonts w:ascii="Times New Roman" w:hAnsi="Times New Roman"/>
          <w:bCs/>
          <w:color w:val="000000"/>
          <w:sz w:val="24"/>
          <w:szCs w:val="24"/>
          <w:lang w:eastAsia="pt-BR"/>
        </w:rPr>
        <w:t xml:space="preserve"> poderiam ser suficientes para atender aos entes federados que não queiram criar regulamentos próprios.</w:t>
      </w:r>
    </w:p>
    <w:p w14:paraId="5896DFBB" w14:textId="5EA84D7C" w:rsidR="008815EB" w:rsidRPr="00C84B29"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C84B29">
        <w:rPr>
          <w:rFonts w:ascii="Times New Roman" w:hAnsi="Times New Roman"/>
          <w:bCs/>
          <w:color w:val="000000"/>
          <w:sz w:val="24"/>
          <w:szCs w:val="24"/>
          <w:lang w:eastAsia="pt-BR"/>
        </w:rPr>
        <w:t xml:space="preserve">Um déficit da legislação atual refere-se ao sistema de </w:t>
      </w:r>
      <w:proofErr w:type="spellStart"/>
      <w:r w:rsidRPr="00C84B29">
        <w:rPr>
          <w:rFonts w:ascii="Times New Roman" w:hAnsi="Times New Roman"/>
          <w:bCs/>
          <w:color w:val="000000"/>
          <w:sz w:val="24"/>
          <w:szCs w:val="24"/>
          <w:lang w:eastAsia="pt-BR"/>
        </w:rPr>
        <w:t>automonitoramento</w:t>
      </w:r>
      <w:proofErr w:type="spellEnd"/>
      <w:r w:rsidRPr="00C84B29">
        <w:rPr>
          <w:rFonts w:ascii="Times New Roman" w:hAnsi="Times New Roman"/>
          <w:bCs/>
          <w:color w:val="000000"/>
          <w:sz w:val="24"/>
          <w:szCs w:val="24"/>
          <w:lang w:eastAsia="pt-BR"/>
        </w:rPr>
        <w:t xml:space="preserve"> e fiscalização. Resta patente no RSB que, no momento, a segurança das barragens é da alçada exclusiva dos empreendedores, aos quais compete além dos planos de segurança e ações emergenciais, as inspeções de segurança regular e de segurança especial e a revisão periódica de segurança de barragem, e protocolos correspondentes. Qualquer </w:t>
      </w:r>
      <w:r w:rsidRPr="00C84B29">
        <w:rPr>
          <w:rFonts w:ascii="Times New Roman" w:hAnsi="Times New Roman"/>
          <w:bCs/>
          <w:color w:val="000000"/>
          <w:sz w:val="24"/>
          <w:szCs w:val="24"/>
          <w:lang w:eastAsia="pt-BR"/>
        </w:rPr>
        <w:lastRenderedPageBreak/>
        <w:t xml:space="preserve">sistema de monitoramento deve ser auditado de forma científica e aleatória pelo poder público, de forma a coibir abusos e irresponsabilidades por parte de eventuais empreendedores ou subcontratados. Este fato, remete a uma análise necessária </w:t>
      </w:r>
      <w:r w:rsidR="0009112A">
        <w:rPr>
          <w:rFonts w:ascii="Times New Roman" w:hAnsi="Times New Roman"/>
          <w:bCs/>
          <w:color w:val="000000"/>
          <w:sz w:val="24"/>
          <w:szCs w:val="24"/>
          <w:lang w:eastAsia="pt-BR"/>
        </w:rPr>
        <w:t>da legislação atual, a qual deve</w:t>
      </w:r>
      <w:r w:rsidRPr="00C84B29">
        <w:rPr>
          <w:rFonts w:ascii="Times New Roman" w:hAnsi="Times New Roman"/>
          <w:bCs/>
          <w:color w:val="000000"/>
          <w:sz w:val="24"/>
          <w:szCs w:val="24"/>
          <w:lang w:eastAsia="pt-BR"/>
        </w:rPr>
        <w:t xml:space="preserve"> ser discutida pelo CNRH, com sugestões para regulamentação </w:t>
      </w:r>
      <w:r w:rsidR="0009112A">
        <w:rPr>
          <w:rFonts w:ascii="Times New Roman" w:hAnsi="Times New Roman"/>
          <w:bCs/>
          <w:color w:val="000000"/>
          <w:sz w:val="24"/>
          <w:szCs w:val="24"/>
          <w:lang w:eastAsia="pt-BR"/>
        </w:rPr>
        <w:t xml:space="preserve">do tema por meio do </w:t>
      </w:r>
      <w:r w:rsidRPr="00C84B29">
        <w:rPr>
          <w:rFonts w:ascii="Times New Roman" w:hAnsi="Times New Roman"/>
          <w:bCs/>
          <w:color w:val="000000"/>
          <w:sz w:val="24"/>
          <w:szCs w:val="24"/>
          <w:lang w:eastAsia="pt-BR"/>
        </w:rPr>
        <w:t xml:space="preserve">sistema de recursos hídricos ou por outra forma legislativa, de modo a dar mais efetividade a fiscalização, </w:t>
      </w:r>
      <w:r>
        <w:rPr>
          <w:rFonts w:ascii="Times New Roman" w:hAnsi="Times New Roman"/>
          <w:bCs/>
          <w:color w:val="000000"/>
          <w:sz w:val="24"/>
          <w:szCs w:val="24"/>
          <w:lang w:eastAsia="pt-BR"/>
        </w:rPr>
        <w:t>estabelecendo</w:t>
      </w:r>
      <w:r w:rsidRPr="00C84B29">
        <w:rPr>
          <w:rFonts w:ascii="Times New Roman" w:hAnsi="Times New Roman"/>
          <w:bCs/>
          <w:color w:val="000000"/>
          <w:sz w:val="24"/>
          <w:szCs w:val="24"/>
          <w:lang w:eastAsia="pt-BR"/>
        </w:rPr>
        <w:t xml:space="preserve"> critérios para </w:t>
      </w:r>
      <w:r w:rsidR="0009112A">
        <w:rPr>
          <w:rFonts w:ascii="Times New Roman" w:hAnsi="Times New Roman"/>
          <w:bCs/>
          <w:color w:val="000000"/>
          <w:sz w:val="24"/>
          <w:szCs w:val="24"/>
          <w:lang w:eastAsia="pt-BR"/>
        </w:rPr>
        <w:t xml:space="preserve">que </w:t>
      </w:r>
      <w:r w:rsidRPr="00C84B29">
        <w:rPr>
          <w:rFonts w:ascii="Times New Roman" w:hAnsi="Times New Roman"/>
          <w:bCs/>
          <w:color w:val="000000"/>
          <w:sz w:val="24"/>
          <w:szCs w:val="24"/>
          <w:lang w:eastAsia="pt-BR"/>
        </w:rPr>
        <w:t xml:space="preserve">os fiscalizadores </w:t>
      </w:r>
      <w:r>
        <w:rPr>
          <w:rFonts w:ascii="Times New Roman" w:hAnsi="Times New Roman"/>
          <w:bCs/>
          <w:color w:val="000000"/>
          <w:sz w:val="24"/>
          <w:szCs w:val="24"/>
          <w:lang w:eastAsia="pt-BR"/>
        </w:rPr>
        <w:t>definam</w:t>
      </w:r>
      <w:r w:rsidRPr="00C84B29">
        <w:rPr>
          <w:rFonts w:ascii="Times New Roman" w:hAnsi="Times New Roman"/>
          <w:bCs/>
          <w:color w:val="000000"/>
          <w:sz w:val="24"/>
          <w:szCs w:val="24"/>
          <w:lang w:eastAsia="pt-BR"/>
        </w:rPr>
        <w:t xml:space="preserve"> metodologias de averiguação e fiscalização de barragens e das atividades de monitoramento respectivas. </w:t>
      </w:r>
    </w:p>
    <w:p w14:paraId="2F11FEDF" w14:textId="77777777" w:rsidR="008815EB" w:rsidRPr="0055146A" w:rsidRDefault="008815EB" w:rsidP="00ED2841">
      <w:pPr>
        <w:spacing w:after="120" w:line="360" w:lineRule="auto"/>
        <w:jc w:val="both"/>
        <w:rPr>
          <w:rFonts w:cs="Arial"/>
          <w:sz w:val="24"/>
          <w:szCs w:val="24"/>
        </w:rPr>
      </w:pPr>
    </w:p>
    <w:p w14:paraId="606B871A" w14:textId="77777777" w:rsidR="008815EB" w:rsidRPr="00500408" w:rsidRDefault="008815EB" w:rsidP="00ED2841">
      <w:pPr>
        <w:pStyle w:val="Ttulo1"/>
        <w:spacing w:line="360" w:lineRule="auto"/>
        <w:rPr>
          <w:rFonts w:ascii="Times New Roman" w:hAnsi="Times New Roman" w:cs="Times New Roman"/>
        </w:rPr>
      </w:pPr>
      <w:r w:rsidRPr="00500408">
        <w:rPr>
          <w:rFonts w:ascii="Times New Roman" w:hAnsi="Times New Roman" w:cs="Times New Roman"/>
        </w:rPr>
        <w:t>IV — CONCLUSÕES E RECOMENDAÇÕES</w:t>
      </w:r>
    </w:p>
    <w:p w14:paraId="16929182" w14:textId="701FD3E4" w:rsidR="00AB6572" w:rsidRDefault="00BF5BAB" w:rsidP="00AB6572">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AB6572">
        <w:rPr>
          <w:rFonts w:ascii="Times New Roman" w:hAnsi="Times New Roman"/>
          <w:bCs/>
          <w:color w:val="000000"/>
          <w:sz w:val="24"/>
          <w:szCs w:val="24"/>
          <w:lang w:eastAsia="pt-BR"/>
        </w:rPr>
        <w:t>Com exceção aos pontos destacados neste Parecer Técnico, o</w:t>
      </w:r>
      <w:r w:rsidR="008815EB" w:rsidRPr="00AB6572">
        <w:rPr>
          <w:rFonts w:ascii="Times New Roman" w:hAnsi="Times New Roman"/>
          <w:bCs/>
          <w:color w:val="000000"/>
          <w:sz w:val="24"/>
          <w:szCs w:val="24"/>
          <w:lang w:eastAsia="pt-BR"/>
        </w:rPr>
        <w:t xml:space="preserve"> Relatório</w:t>
      </w:r>
      <w:r w:rsidRPr="00AB6572">
        <w:rPr>
          <w:rFonts w:ascii="Times New Roman" w:hAnsi="Times New Roman"/>
          <w:bCs/>
          <w:color w:val="000000"/>
          <w:sz w:val="24"/>
          <w:szCs w:val="24"/>
          <w:lang w:eastAsia="pt-BR"/>
        </w:rPr>
        <w:t xml:space="preserve"> de Segurança de Barragens 2016 cumpre as exigências da </w:t>
      </w:r>
      <w:r w:rsidR="008815EB" w:rsidRPr="00AB6572">
        <w:rPr>
          <w:rFonts w:ascii="Times New Roman" w:hAnsi="Times New Roman"/>
          <w:bCs/>
          <w:color w:val="000000"/>
          <w:sz w:val="24"/>
          <w:szCs w:val="24"/>
          <w:lang w:eastAsia="pt-BR"/>
        </w:rPr>
        <w:t>Resolução n</w:t>
      </w:r>
      <w:r w:rsidRPr="00AB6572">
        <w:rPr>
          <w:rFonts w:ascii="Times New Roman" w:hAnsi="Times New Roman"/>
          <w:bCs/>
          <w:color w:val="000000"/>
          <w:sz w:val="24"/>
          <w:szCs w:val="24"/>
          <w:lang w:eastAsia="pt-BR"/>
        </w:rPr>
        <w:t>º</w:t>
      </w:r>
      <w:r w:rsidR="008815EB" w:rsidRPr="00AB6572">
        <w:rPr>
          <w:rFonts w:ascii="Times New Roman" w:hAnsi="Times New Roman"/>
          <w:bCs/>
          <w:color w:val="000000"/>
          <w:sz w:val="24"/>
          <w:szCs w:val="24"/>
          <w:lang w:eastAsia="pt-BR"/>
        </w:rPr>
        <w:t xml:space="preserve"> 144</w:t>
      </w:r>
      <w:r w:rsidRPr="00AB6572">
        <w:rPr>
          <w:rFonts w:ascii="Times New Roman" w:hAnsi="Times New Roman"/>
          <w:bCs/>
          <w:color w:val="000000"/>
          <w:sz w:val="24"/>
          <w:szCs w:val="24"/>
          <w:lang w:eastAsia="pt-BR"/>
        </w:rPr>
        <w:t>, de 20</w:t>
      </w:r>
      <w:r w:rsidR="008815EB" w:rsidRPr="00AB6572">
        <w:rPr>
          <w:rFonts w:ascii="Times New Roman" w:hAnsi="Times New Roman"/>
          <w:bCs/>
          <w:color w:val="000000"/>
          <w:sz w:val="24"/>
          <w:szCs w:val="24"/>
          <w:lang w:eastAsia="pt-BR"/>
        </w:rPr>
        <w:t>12</w:t>
      </w:r>
      <w:r w:rsidRPr="00AB6572">
        <w:rPr>
          <w:rFonts w:ascii="Times New Roman" w:hAnsi="Times New Roman"/>
          <w:bCs/>
          <w:color w:val="000000"/>
          <w:sz w:val="24"/>
          <w:szCs w:val="24"/>
          <w:lang w:eastAsia="pt-BR"/>
        </w:rPr>
        <w:t xml:space="preserve">, do CNRH. </w:t>
      </w:r>
      <w:r w:rsidR="008815EB" w:rsidRPr="00AB6572">
        <w:rPr>
          <w:rFonts w:ascii="Times New Roman" w:hAnsi="Times New Roman"/>
          <w:bCs/>
          <w:color w:val="000000"/>
          <w:sz w:val="24"/>
          <w:szCs w:val="24"/>
          <w:lang w:eastAsia="pt-BR"/>
        </w:rPr>
        <w:t xml:space="preserve">O </w:t>
      </w:r>
      <w:r w:rsidRPr="00AB6572">
        <w:rPr>
          <w:rFonts w:ascii="Times New Roman" w:hAnsi="Times New Roman"/>
          <w:bCs/>
          <w:color w:val="000000"/>
          <w:sz w:val="24"/>
          <w:szCs w:val="24"/>
          <w:lang w:eastAsia="pt-BR"/>
        </w:rPr>
        <w:t>RSB 2016</w:t>
      </w:r>
      <w:r w:rsidR="008815EB" w:rsidRPr="00AB6572">
        <w:rPr>
          <w:rFonts w:ascii="Times New Roman" w:hAnsi="Times New Roman"/>
          <w:bCs/>
          <w:color w:val="000000"/>
          <w:sz w:val="24"/>
          <w:szCs w:val="24"/>
          <w:lang w:eastAsia="pt-BR"/>
        </w:rPr>
        <w:t xml:space="preserve"> também realiza uma análise de todas as informações cadastradas, consolidando</w:t>
      </w:r>
      <w:r w:rsidRPr="00AB6572">
        <w:rPr>
          <w:rFonts w:ascii="Times New Roman" w:hAnsi="Times New Roman"/>
          <w:bCs/>
          <w:color w:val="000000"/>
          <w:sz w:val="24"/>
          <w:szCs w:val="24"/>
          <w:lang w:eastAsia="pt-BR"/>
        </w:rPr>
        <w:t xml:space="preserve">-as </w:t>
      </w:r>
      <w:r w:rsidR="008815EB" w:rsidRPr="00AB6572">
        <w:rPr>
          <w:rFonts w:ascii="Times New Roman" w:hAnsi="Times New Roman"/>
          <w:bCs/>
          <w:color w:val="000000"/>
          <w:sz w:val="24"/>
          <w:szCs w:val="24"/>
          <w:lang w:eastAsia="pt-BR"/>
        </w:rPr>
        <w:t xml:space="preserve">e elaborando recomendações que contemplam </w:t>
      </w:r>
      <w:r w:rsidRPr="00AB6572">
        <w:rPr>
          <w:rFonts w:ascii="Times New Roman" w:hAnsi="Times New Roman"/>
          <w:bCs/>
          <w:color w:val="000000"/>
          <w:sz w:val="24"/>
          <w:szCs w:val="24"/>
          <w:lang w:eastAsia="pt-BR"/>
        </w:rPr>
        <w:t>algumas das</w:t>
      </w:r>
      <w:r w:rsidR="008815EB" w:rsidRPr="00AB6572">
        <w:rPr>
          <w:rFonts w:ascii="Times New Roman" w:hAnsi="Times New Roman"/>
          <w:bCs/>
          <w:color w:val="000000"/>
          <w:sz w:val="24"/>
          <w:szCs w:val="24"/>
          <w:lang w:eastAsia="pt-BR"/>
        </w:rPr>
        <w:t xml:space="preserve"> considerações </w:t>
      </w:r>
      <w:r w:rsidRPr="00AB6572">
        <w:rPr>
          <w:rFonts w:ascii="Times New Roman" w:hAnsi="Times New Roman"/>
          <w:bCs/>
          <w:color w:val="000000"/>
          <w:sz w:val="24"/>
          <w:szCs w:val="24"/>
          <w:lang w:eastAsia="pt-BR"/>
        </w:rPr>
        <w:t>registradas</w:t>
      </w:r>
      <w:r w:rsidR="008815EB" w:rsidRPr="00AB6572">
        <w:rPr>
          <w:rFonts w:ascii="Times New Roman" w:hAnsi="Times New Roman"/>
          <w:bCs/>
          <w:color w:val="000000"/>
          <w:sz w:val="24"/>
          <w:szCs w:val="24"/>
          <w:lang w:eastAsia="pt-BR"/>
        </w:rPr>
        <w:t xml:space="preserve"> neste </w:t>
      </w:r>
      <w:r w:rsidRPr="00AB6572">
        <w:rPr>
          <w:rFonts w:ascii="Times New Roman" w:hAnsi="Times New Roman"/>
          <w:bCs/>
          <w:color w:val="000000"/>
          <w:sz w:val="24"/>
          <w:szCs w:val="24"/>
          <w:lang w:eastAsia="pt-BR"/>
        </w:rPr>
        <w:t>P</w:t>
      </w:r>
      <w:r w:rsidR="008815EB" w:rsidRPr="00AB6572">
        <w:rPr>
          <w:rFonts w:ascii="Times New Roman" w:hAnsi="Times New Roman"/>
          <w:bCs/>
          <w:color w:val="000000"/>
          <w:sz w:val="24"/>
          <w:szCs w:val="24"/>
          <w:lang w:eastAsia="pt-BR"/>
        </w:rPr>
        <w:t>arecer</w:t>
      </w:r>
      <w:r w:rsidRPr="00AB6572">
        <w:rPr>
          <w:rFonts w:ascii="Times New Roman" w:hAnsi="Times New Roman"/>
          <w:bCs/>
          <w:color w:val="000000"/>
          <w:sz w:val="24"/>
          <w:szCs w:val="24"/>
          <w:lang w:eastAsia="pt-BR"/>
        </w:rPr>
        <w:t xml:space="preserve"> Técnico</w:t>
      </w:r>
      <w:r w:rsidR="008815EB" w:rsidRPr="00AB6572">
        <w:rPr>
          <w:rFonts w:ascii="Times New Roman" w:hAnsi="Times New Roman"/>
          <w:bCs/>
          <w:color w:val="000000"/>
          <w:sz w:val="24"/>
          <w:szCs w:val="24"/>
          <w:lang w:eastAsia="pt-BR"/>
        </w:rPr>
        <w:t>.</w:t>
      </w:r>
      <w:r w:rsidR="00AB6572">
        <w:rPr>
          <w:rFonts w:ascii="Times New Roman" w:hAnsi="Times New Roman"/>
          <w:bCs/>
          <w:color w:val="000000"/>
          <w:sz w:val="24"/>
          <w:szCs w:val="24"/>
          <w:lang w:eastAsia="pt-BR"/>
        </w:rPr>
        <w:t xml:space="preserve"> </w:t>
      </w:r>
      <w:r w:rsidRPr="00AB6572">
        <w:rPr>
          <w:rFonts w:ascii="Times New Roman" w:hAnsi="Times New Roman"/>
          <w:bCs/>
          <w:color w:val="000000"/>
          <w:sz w:val="24"/>
          <w:szCs w:val="24"/>
          <w:lang w:eastAsia="pt-BR"/>
        </w:rPr>
        <w:t>A partir das análises realizadas por este Grupo de Trabalho,</w:t>
      </w:r>
      <w:r w:rsidR="00EC1F41" w:rsidRPr="00AB6572">
        <w:rPr>
          <w:rFonts w:ascii="Times New Roman" w:hAnsi="Times New Roman"/>
          <w:bCs/>
          <w:color w:val="000000"/>
          <w:sz w:val="24"/>
          <w:szCs w:val="24"/>
          <w:lang w:eastAsia="pt-BR"/>
        </w:rPr>
        <w:t xml:space="preserve"> sem prejuízo das recomendações apresentadas pela ANA no RSB 2016,</w:t>
      </w:r>
      <w:r w:rsidR="00AB6572">
        <w:rPr>
          <w:rFonts w:ascii="Times New Roman" w:hAnsi="Times New Roman"/>
          <w:bCs/>
          <w:color w:val="000000"/>
          <w:sz w:val="24"/>
          <w:szCs w:val="24"/>
          <w:lang w:eastAsia="pt-BR"/>
        </w:rPr>
        <w:t xml:space="preserve"> foram elaboradas as recomendações a seguir apresentadas.</w:t>
      </w:r>
    </w:p>
    <w:p w14:paraId="31168781" w14:textId="32F52133" w:rsidR="008815EB" w:rsidRPr="00AB6572" w:rsidRDefault="00AB6572" w:rsidP="00AB6572">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Pr>
          <w:rFonts w:ascii="Times New Roman" w:hAnsi="Times New Roman"/>
          <w:bCs/>
          <w:color w:val="000000"/>
          <w:sz w:val="24"/>
          <w:szCs w:val="24"/>
          <w:lang w:eastAsia="pt-BR"/>
        </w:rPr>
        <w:t>P</w:t>
      </w:r>
      <w:r w:rsidR="00BF5BAB" w:rsidRPr="00AB6572">
        <w:rPr>
          <w:rFonts w:ascii="Times New Roman" w:hAnsi="Times New Roman"/>
          <w:bCs/>
          <w:color w:val="000000"/>
          <w:sz w:val="24"/>
          <w:szCs w:val="24"/>
          <w:lang w:eastAsia="pt-BR"/>
        </w:rPr>
        <w:t>ropõe-</w:t>
      </w:r>
      <w:r w:rsidR="00EC1F41" w:rsidRPr="00AB6572">
        <w:rPr>
          <w:rFonts w:ascii="Times New Roman" w:hAnsi="Times New Roman"/>
          <w:bCs/>
          <w:color w:val="000000"/>
          <w:sz w:val="24"/>
          <w:szCs w:val="24"/>
          <w:lang w:eastAsia="pt-BR"/>
        </w:rPr>
        <w:t>se que o CNRH solicite à ANA que:</w:t>
      </w:r>
    </w:p>
    <w:p w14:paraId="48592FD0" w14:textId="1938FA59" w:rsidR="008815EB" w:rsidRDefault="009863D6" w:rsidP="00EC1F41">
      <w:pPr>
        <w:pStyle w:val="PargrafodaLista"/>
        <w:numPr>
          <w:ilvl w:val="0"/>
          <w:numId w:val="6"/>
        </w:numPr>
        <w:spacing w:before="120" w:line="360" w:lineRule="auto"/>
        <w:rPr>
          <w:rFonts w:ascii="Times New Roman" w:hAnsi="Times New Roman"/>
        </w:rPr>
      </w:pPr>
      <w:r>
        <w:rPr>
          <w:rFonts w:ascii="Times New Roman" w:hAnsi="Times New Roman"/>
        </w:rPr>
        <w:t>c</w:t>
      </w:r>
      <w:r w:rsidR="008815EB" w:rsidRPr="00EC1F41">
        <w:rPr>
          <w:rFonts w:ascii="Times New Roman" w:hAnsi="Times New Roman"/>
        </w:rPr>
        <w:t>omplemente</w:t>
      </w:r>
      <w:r w:rsidR="00EC1F41">
        <w:rPr>
          <w:rFonts w:ascii="Times New Roman" w:hAnsi="Times New Roman"/>
        </w:rPr>
        <w:t>, de imediato,</w:t>
      </w:r>
      <w:r w:rsidR="008815EB" w:rsidRPr="00EC1F41">
        <w:rPr>
          <w:rFonts w:ascii="Times New Roman" w:hAnsi="Times New Roman"/>
        </w:rPr>
        <w:t xml:space="preserve"> o cadastro de barragens disponibilizado à sociedade por meio do seu sítio eletrônico, incluindo as informações de que dispõe em decorrência da elaboração do RSB 2016, tais quais: altura, volume, classificação de risco, classificação de dano potencial, ano de construção, regulamento de segurança que a barragem está sujeita (se houver), status (construção, operação ou desativada), se dispõe de regularização (outorga, licença</w:t>
      </w:r>
      <w:r w:rsidR="00EC1F41">
        <w:rPr>
          <w:rFonts w:ascii="Times New Roman" w:hAnsi="Times New Roman"/>
        </w:rPr>
        <w:t xml:space="preserve"> etc.),</w:t>
      </w:r>
      <w:r w:rsidR="008815EB" w:rsidRPr="00EC1F41">
        <w:rPr>
          <w:rFonts w:ascii="Times New Roman" w:hAnsi="Times New Roman"/>
        </w:rPr>
        <w:t xml:space="preserve"> entre outras que estiverem disponíveis;</w:t>
      </w:r>
    </w:p>
    <w:p w14:paraId="1DF88BF1" w14:textId="4F75112D" w:rsidR="009863D6" w:rsidRDefault="009863D6" w:rsidP="009863D6">
      <w:pPr>
        <w:pStyle w:val="PargrafodaLista"/>
        <w:numPr>
          <w:ilvl w:val="0"/>
          <w:numId w:val="6"/>
        </w:numPr>
        <w:spacing w:before="120" w:line="360" w:lineRule="auto"/>
        <w:rPr>
          <w:rFonts w:ascii="Times New Roman" w:hAnsi="Times New Roman"/>
        </w:rPr>
      </w:pPr>
      <w:proofErr w:type="gramStart"/>
      <w:r>
        <w:rPr>
          <w:rFonts w:ascii="Times New Roman" w:hAnsi="Times New Roman"/>
        </w:rPr>
        <w:t>apresente</w:t>
      </w:r>
      <w:proofErr w:type="gramEnd"/>
      <w:r w:rsidRPr="009863D6">
        <w:rPr>
          <w:rFonts w:ascii="Times New Roman" w:hAnsi="Times New Roman"/>
        </w:rPr>
        <w:t xml:space="preserve"> plano de trabalho e cronograma para ati</w:t>
      </w:r>
      <w:r>
        <w:rPr>
          <w:rFonts w:ascii="Times New Roman" w:hAnsi="Times New Roman"/>
        </w:rPr>
        <w:t>ngimento da</w:t>
      </w:r>
      <w:r w:rsidRPr="009863D6">
        <w:rPr>
          <w:rFonts w:ascii="Times New Roman" w:hAnsi="Times New Roman"/>
        </w:rPr>
        <w:t xml:space="preserve"> plena operacionalidade do SNISB e </w:t>
      </w:r>
      <w:r>
        <w:rPr>
          <w:rFonts w:ascii="Times New Roman" w:hAnsi="Times New Roman"/>
        </w:rPr>
        <w:t xml:space="preserve">para a conclusão do </w:t>
      </w:r>
      <w:r w:rsidRPr="009863D6">
        <w:rPr>
          <w:rFonts w:ascii="Times New Roman" w:hAnsi="Times New Roman"/>
        </w:rPr>
        <w:t>cadast</w:t>
      </w:r>
      <w:r>
        <w:rPr>
          <w:rFonts w:ascii="Times New Roman" w:hAnsi="Times New Roman"/>
        </w:rPr>
        <w:t>ramento das barragens situadas no território nacional</w:t>
      </w:r>
      <w:r w:rsidRPr="009863D6">
        <w:rPr>
          <w:rFonts w:ascii="Times New Roman" w:hAnsi="Times New Roman"/>
        </w:rPr>
        <w:t>;</w:t>
      </w:r>
    </w:p>
    <w:p w14:paraId="050BE966" w14:textId="77777777" w:rsidR="007B09A0" w:rsidRDefault="009863D6" w:rsidP="009863D6">
      <w:pPr>
        <w:pStyle w:val="PargrafodaLista"/>
        <w:numPr>
          <w:ilvl w:val="0"/>
          <w:numId w:val="6"/>
        </w:numPr>
        <w:spacing w:before="120" w:line="360" w:lineRule="auto"/>
        <w:rPr>
          <w:rFonts w:ascii="Times New Roman" w:hAnsi="Times New Roman"/>
        </w:rPr>
      </w:pPr>
      <w:proofErr w:type="gramStart"/>
      <w:r>
        <w:rPr>
          <w:rFonts w:ascii="Times New Roman" w:hAnsi="Times New Roman"/>
        </w:rPr>
        <w:lastRenderedPageBreak/>
        <w:t>reavalie</w:t>
      </w:r>
      <w:proofErr w:type="gramEnd"/>
      <w:r>
        <w:rPr>
          <w:rFonts w:ascii="Times New Roman" w:hAnsi="Times New Roman"/>
        </w:rPr>
        <w:t xml:space="preserve"> </w:t>
      </w:r>
      <w:r w:rsidRPr="009863D6">
        <w:rPr>
          <w:rFonts w:ascii="Times New Roman" w:hAnsi="Times New Roman"/>
        </w:rPr>
        <w:t>a classificação “usos múltiplos”, de modo que seja possível avaliar com clareza quais setores são os responsáveis por esse grande conjunto de barragens</w:t>
      </w:r>
      <w:r w:rsidR="00AB6572">
        <w:rPr>
          <w:rFonts w:ascii="Times New Roman" w:hAnsi="Times New Roman"/>
        </w:rPr>
        <w:t xml:space="preserve"> e quais são as principais destinações</w:t>
      </w:r>
      <w:r w:rsidR="007B09A0">
        <w:rPr>
          <w:rFonts w:ascii="Times New Roman" w:hAnsi="Times New Roman"/>
        </w:rPr>
        <w:t xml:space="preserve"> desses empreendimentos</w:t>
      </w:r>
      <w:r w:rsidRPr="009863D6">
        <w:rPr>
          <w:rFonts w:ascii="Times New Roman" w:hAnsi="Times New Roman"/>
        </w:rPr>
        <w:t>, a exemplo do que já ocorre com as barragens do Se</w:t>
      </w:r>
      <w:r w:rsidR="00DF4BDD">
        <w:rPr>
          <w:rFonts w:ascii="Times New Roman" w:hAnsi="Times New Roman"/>
        </w:rPr>
        <w:t xml:space="preserve">tor Elétrico e do Setor Mineral; </w:t>
      </w:r>
    </w:p>
    <w:p w14:paraId="3877346F" w14:textId="04BF792D" w:rsidR="007B09A0" w:rsidRDefault="00596E55" w:rsidP="007B09A0">
      <w:pPr>
        <w:numPr>
          <w:ilvl w:val="0"/>
          <w:numId w:val="6"/>
        </w:numPr>
        <w:suppressAutoHyphens w:val="0"/>
        <w:snapToGrid w:val="0"/>
        <w:spacing w:after="120" w:line="360" w:lineRule="auto"/>
        <w:jc w:val="both"/>
        <w:rPr>
          <w:rFonts w:ascii="Times New Roman" w:hAnsi="Times New Roman"/>
          <w:bCs/>
          <w:color w:val="000000"/>
          <w:sz w:val="24"/>
          <w:szCs w:val="24"/>
          <w:lang w:eastAsia="pt-BR"/>
        </w:rPr>
      </w:pPr>
      <w:proofErr w:type="gramStart"/>
      <w:r>
        <w:rPr>
          <w:rFonts w:ascii="Times New Roman" w:hAnsi="Times New Roman"/>
          <w:bCs/>
          <w:color w:val="000000"/>
          <w:sz w:val="24"/>
          <w:szCs w:val="24"/>
          <w:lang w:eastAsia="pt-BR"/>
        </w:rPr>
        <w:t>ao</w:t>
      </w:r>
      <w:proofErr w:type="gramEnd"/>
      <w:r>
        <w:rPr>
          <w:rFonts w:ascii="Times New Roman" w:hAnsi="Times New Roman"/>
          <w:bCs/>
          <w:color w:val="000000"/>
          <w:sz w:val="24"/>
          <w:szCs w:val="24"/>
          <w:lang w:eastAsia="pt-BR"/>
        </w:rPr>
        <w:t xml:space="preserve"> criar e divulgar </w:t>
      </w:r>
      <w:r w:rsidR="007B09A0" w:rsidRPr="007B09A0">
        <w:rPr>
          <w:rFonts w:ascii="Times New Roman" w:hAnsi="Times New Roman"/>
          <w:bCs/>
          <w:color w:val="000000"/>
          <w:sz w:val="24"/>
          <w:szCs w:val="24"/>
          <w:lang w:eastAsia="pt-BR"/>
        </w:rPr>
        <w:t>critérios gerais de classificação de barragens</w:t>
      </w:r>
      <w:r w:rsidR="007B09A0">
        <w:rPr>
          <w:rFonts w:ascii="Times New Roman" w:hAnsi="Times New Roman"/>
          <w:bCs/>
          <w:color w:val="000000"/>
          <w:sz w:val="24"/>
          <w:szCs w:val="24"/>
          <w:lang w:eastAsia="pt-BR"/>
        </w:rPr>
        <w:t xml:space="preserve"> diversos daqueles estabelecidos </w:t>
      </w:r>
      <w:r>
        <w:rPr>
          <w:rFonts w:ascii="Times New Roman" w:hAnsi="Times New Roman"/>
          <w:bCs/>
          <w:color w:val="000000"/>
          <w:sz w:val="24"/>
          <w:szCs w:val="24"/>
          <w:lang w:eastAsia="pt-BR"/>
        </w:rPr>
        <w:t>pelo</w:t>
      </w:r>
      <w:r w:rsidR="007B09A0">
        <w:rPr>
          <w:rFonts w:ascii="Times New Roman" w:hAnsi="Times New Roman"/>
          <w:bCs/>
          <w:color w:val="000000"/>
          <w:sz w:val="24"/>
          <w:szCs w:val="24"/>
          <w:lang w:eastAsia="pt-BR"/>
        </w:rPr>
        <w:t xml:space="preserve"> CNRH</w:t>
      </w:r>
      <w:r>
        <w:rPr>
          <w:rFonts w:ascii="Times New Roman" w:hAnsi="Times New Roman"/>
          <w:bCs/>
          <w:color w:val="000000"/>
          <w:sz w:val="24"/>
          <w:szCs w:val="24"/>
          <w:lang w:eastAsia="pt-BR"/>
        </w:rPr>
        <w:t>, observe o disposto no art. 4º, §1º, e no art. 5º, §3º, da Resolução nº 143, de 2012;</w:t>
      </w:r>
    </w:p>
    <w:p w14:paraId="026EC627" w14:textId="1F4B8968" w:rsidR="007B09A0" w:rsidRPr="007B09A0" w:rsidRDefault="007B09A0" w:rsidP="007B09A0">
      <w:pPr>
        <w:numPr>
          <w:ilvl w:val="0"/>
          <w:numId w:val="6"/>
        </w:numPr>
        <w:suppressAutoHyphens w:val="0"/>
        <w:snapToGrid w:val="0"/>
        <w:spacing w:after="120" w:line="360" w:lineRule="auto"/>
        <w:jc w:val="both"/>
        <w:rPr>
          <w:rFonts w:ascii="Times New Roman" w:hAnsi="Times New Roman"/>
          <w:bCs/>
          <w:color w:val="000000"/>
          <w:sz w:val="24"/>
          <w:szCs w:val="24"/>
          <w:lang w:eastAsia="pt-BR"/>
        </w:rPr>
      </w:pPr>
      <w:proofErr w:type="gramStart"/>
      <w:r>
        <w:rPr>
          <w:rFonts w:ascii="Times New Roman" w:hAnsi="Times New Roman"/>
          <w:bCs/>
          <w:color w:val="000000"/>
          <w:sz w:val="24"/>
          <w:szCs w:val="24"/>
          <w:lang w:eastAsia="pt-BR"/>
        </w:rPr>
        <w:t>ao</w:t>
      </w:r>
      <w:proofErr w:type="gramEnd"/>
      <w:r>
        <w:rPr>
          <w:rFonts w:ascii="Times New Roman" w:hAnsi="Times New Roman"/>
          <w:bCs/>
          <w:color w:val="000000"/>
          <w:sz w:val="24"/>
          <w:szCs w:val="24"/>
          <w:lang w:eastAsia="pt-BR"/>
        </w:rPr>
        <w:t xml:space="preserve"> detectar falhas ou possibilidade</w:t>
      </w:r>
      <w:r w:rsidR="00596E55">
        <w:rPr>
          <w:rFonts w:ascii="Times New Roman" w:hAnsi="Times New Roman"/>
          <w:bCs/>
          <w:color w:val="000000"/>
          <w:sz w:val="24"/>
          <w:szCs w:val="24"/>
          <w:lang w:eastAsia="pt-BR"/>
        </w:rPr>
        <w:t>s</w:t>
      </w:r>
      <w:r>
        <w:rPr>
          <w:rFonts w:ascii="Times New Roman" w:hAnsi="Times New Roman"/>
          <w:bCs/>
          <w:color w:val="000000"/>
          <w:sz w:val="24"/>
          <w:szCs w:val="24"/>
          <w:lang w:eastAsia="pt-BR"/>
        </w:rPr>
        <w:t xml:space="preserve"> de melhorias nos critérios gerais de classificação vigentes, encaminhe </w:t>
      </w:r>
      <w:r w:rsidR="00596E55">
        <w:rPr>
          <w:rFonts w:ascii="Times New Roman" w:hAnsi="Times New Roman"/>
          <w:bCs/>
          <w:color w:val="000000"/>
          <w:sz w:val="24"/>
          <w:szCs w:val="24"/>
          <w:lang w:eastAsia="pt-BR"/>
        </w:rPr>
        <w:t>proposta de aprimoramento ao CNRH;</w:t>
      </w:r>
    </w:p>
    <w:p w14:paraId="2B91AEEA" w14:textId="66402E74" w:rsidR="00DF4BDD" w:rsidRPr="009863D6" w:rsidRDefault="00DF4BDD" w:rsidP="009863D6">
      <w:pPr>
        <w:pStyle w:val="PargrafodaLista"/>
        <w:numPr>
          <w:ilvl w:val="0"/>
          <w:numId w:val="6"/>
        </w:numPr>
        <w:spacing w:before="120" w:line="360" w:lineRule="auto"/>
        <w:rPr>
          <w:rFonts w:ascii="Times New Roman" w:hAnsi="Times New Roman"/>
        </w:rPr>
      </w:pPr>
      <w:proofErr w:type="gramStart"/>
      <w:r>
        <w:rPr>
          <w:rFonts w:ascii="Times New Roman" w:hAnsi="Times New Roman" w:cs="Times New Roman"/>
        </w:rPr>
        <w:t>prossiga</w:t>
      </w:r>
      <w:proofErr w:type="gramEnd"/>
      <w:r>
        <w:rPr>
          <w:rFonts w:ascii="Times New Roman" w:hAnsi="Times New Roman" w:cs="Times New Roman"/>
        </w:rPr>
        <w:t xml:space="preserve"> com a</w:t>
      </w:r>
      <w:r w:rsidRPr="00EC1F41">
        <w:rPr>
          <w:rFonts w:ascii="Times New Roman" w:hAnsi="Times New Roman" w:cs="Times New Roman"/>
        </w:rPr>
        <w:t xml:space="preserve"> realização d</w:t>
      </w:r>
      <w:r>
        <w:rPr>
          <w:rFonts w:ascii="Times New Roman" w:hAnsi="Times New Roman" w:cs="Times New Roman"/>
        </w:rPr>
        <w:t>o</w:t>
      </w:r>
      <w:r w:rsidRPr="00EC1F41">
        <w:rPr>
          <w:rFonts w:ascii="Times New Roman" w:hAnsi="Times New Roman" w:cs="Times New Roman"/>
        </w:rPr>
        <w:t xml:space="preserve"> esforço continuado de mobilização, treinamento e capacitação de órgãos fiscalizadores</w:t>
      </w:r>
      <w:r w:rsidR="007B09A0">
        <w:rPr>
          <w:rFonts w:ascii="Times New Roman" w:hAnsi="Times New Roman" w:cs="Times New Roman"/>
        </w:rPr>
        <w:t>,</w:t>
      </w:r>
      <w:r w:rsidRPr="00EC1F41">
        <w:rPr>
          <w:rFonts w:ascii="Times New Roman" w:hAnsi="Times New Roman" w:cs="Times New Roman"/>
        </w:rPr>
        <w:t xml:space="preserve"> e mesmo dos empreendedores, bem como </w:t>
      </w:r>
      <w:r>
        <w:rPr>
          <w:rFonts w:ascii="Times New Roman" w:hAnsi="Times New Roman" w:cs="Times New Roman"/>
        </w:rPr>
        <w:t xml:space="preserve">com o </w:t>
      </w:r>
      <w:r w:rsidRPr="00EC1F41">
        <w:rPr>
          <w:rFonts w:ascii="Times New Roman" w:hAnsi="Times New Roman" w:cs="Times New Roman"/>
        </w:rPr>
        <w:t>estabelecimento de padronização mínim</w:t>
      </w:r>
      <w:r>
        <w:rPr>
          <w:rFonts w:ascii="Times New Roman" w:hAnsi="Times New Roman" w:cs="Times New Roman"/>
        </w:rPr>
        <w:t>a</w:t>
      </w:r>
      <w:r w:rsidRPr="00EC1F41">
        <w:rPr>
          <w:rFonts w:ascii="Times New Roman" w:hAnsi="Times New Roman" w:cs="Times New Roman"/>
        </w:rPr>
        <w:t xml:space="preserve"> das informações, com inclusão de maiores detalhamentos nos formulários a serem enviadas pelos </w:t>
      </w:r>
      <w:r>
        <w:rPr>
          <w:rFonts w:ascii="Times New Roman" w:hAnsi="Times New Roman" w:cs="Times New Roman"/>
        </w:rPr>
        <w:t>órgãos fiscalizadores</w:t>
      </w:r>
      <w:r w:rsidRPr="00EC1F41">
        <w:rPr>
          <w:rFonts w:ascii="Times New Roman" w:hAnsi="Times New Roman" w:cs="Times New Roman"/>
        </w:rPr>
        <w:t xml:space="preserve"> para</w:t>
      </w:r>
      <w:r>
        <w:rPr>
          <w:rFonts w:ascii="Times New Roman" w:hAnsi="Times New Roman" w:cs="Times New Roman"/>
        </w:rPr>
        <w:t xml:space="preserve"> a  composição d</w:t>
      </w:r>
      <w:r w:rsidRPr="00EC1F41">
        <w:rPr>
          <w:rFonts w:ascii="Times New Roman" w:hAnsi="Times New Roman" w:cs="Times New Roman"/>
        </w:rPr>
        <w:t>o relatório</w:t>
      </w:r>
      <w:r>
        <w:rPr>
          <w:rFonts w:ascii="Times New Roman" w:hAnsi="Times New Roman" w:cs="Times New Roman"/>
        </w:rPr>
        <w:t xml:space="preserve"> do RSB.</w:t>
      </w:r>
    </w:p>
    <w:p w14:paraId="18A6A081" w14:textId="47431366" w:rsidR="00EC1F41" w:rsidRDefault="00EC1F41" w:rsidP="00EC1F41">
      <w:pPr>
        <w:spacing w:before="120" w:line="360" w:lineRule="auto"/>
        <w:rPr>
          <w:rFonts w:ascii="Times New Roman" w:hAnsi="Times New Roman"/>
        </w:rPr>
      </w:pPr>
    </w:p>
    <w:p w14:paraId="77AC9ABB" w14:textId="7C28FFC8" w:rsidR="00EC1F41" w:rsidRPr="00EC1F41" w:rsidRDefault="00EC1F41" w:rsidP="00EC1F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EC1F41">
        <w:rPr>
          <w:rFonts w:ascii="Times New Roman" w:hAnsi="Times New Roman"/>
          <w:bCs/>
          <w:color w:val="000000"/>
          <w:sz w:val="24"/>
          <w:szCs w:val="24"/>
          <w:lang w:eastAsia="pt-BR"/>
        </w:rPr>
        <w:t>Em relação às próximas edições do RSB, prop</w:t>
      </w:r>
      <w:r>
        <w:rPr>
          <w:rFonts w:ascii="Times New Roman" w:hAnsi="Times New Roman"/>
          <w:bCs/>
          <w:color w:val="000000"/>
          <w:sz w:val="24"/>
          <w:szCs w:val="24"/>
          <w:lang w:eastAsia="pt-BR"/>
        </w:rPr>
        <w:t>õe</w:t>
      </w:r>
      <w:r w:rsidRPr="00EC1F41">
        <w:rPr>
          <w:rFonts w:ascii="Times New Roman" w:hAnsi="Times New Roman"/>
          <w:bCs/>
          <w:color w:val="000000"/>
          <w:sz w:val="24"/>
          <w:szCs w:val="24"/>
          <w:lang w:eastAsia="pt-BR"/>
        </w:rPr>
        <w:t>-se que o CNRH solicite à ANA que:</w:t>
      </w:r>
    </w:p>
    <w:p w14:paraId="208C1123" w14:textId="52738470" w:rsidR="008815EB" w:rsidRPr="00EC1F41" w:rsidRDefault="00EC1F41" w:rsidP="00EC1F41">
      <w:pPr>
        <w:pStyle w:val="PargrafodaLista"/>
        <w:numPr>
          <w:ilvl w:val="0"/>
          <w:numId w:val="7"/>
        </w:numPr>
        <w:spacing w:before="120" w:line="360" w:lineRule="auto"/>
        <w:rPr>
          <w:rFonts w:ascii="Times New Roman" w:hAnsi="Times New Roman"/>
        </w:rPr>
      </w:pPr>
      <w:proofErr w:type="gramStart"/>
      <w:r w:rsidRPr="00EC1F41">
        <w:rPr>
          <w:rFonts w:ascii="Times New Roman" w:hAnsi="Times New Roman"/>
        </w:rPr>
        <w:t>estabeleça</w:t>
      </w:r>
      <w:proofErr w:type="gramEnd"/>
      <w:r w:rsidR="008815EB" w:rsidRPr="00EC1F41">
        <w:rPr>
          <w:rFonts w:ascii="Times New Roman" w:hAnsi="Times New Roman"/>
        </w:rPr>
        <w:t xml:space="preserve"> </w:t>
      </w:r>
      <w:r>
        <w:rPr>
          <w:rFonts w:ascii="Times New Roman" w:hAnsi="Times New Roman"/>
        </w:rPr>
        <w:t xml:space="preserve">e inclua em suas avaliações </w:t>
      </w:r>
      <w:r w:rsidR="008815EB" w:rsidRPr="00EC1F41">
        <w:rPr>
          <w:rFonts w:ascii="Times New Roman" w:hAnsi="Times New Roman"/>
        </w:rPr>
        <w:t>indicadores</w:t>
      </w:r>
      <w:r>
        <w:rPr>
          <w:rFonts w:ascii="Times New Roman" w:hAnsi="Times New Roman"/>
        </w:rPr>
        <w:t xml:space="preserve"> </w:t>
      </w:r>
      <w:r w:rsidR="008815EB" w:rsidRPr="00EC1F41">
        <w:rPr>
          <w:rFonts w:ascii="Times New Roman" w:hAnsi="Times New Roman"/>
        </w:rPr>
        <w:t>que permitam uma compreensão mais clara do estágio de desenvolvimento da PNSB, bem como passe a disponibilizar as séries históricas desses indicadores e das principais variáveis contabilizadas nos relatórios de segurança de barragens;</w:t>
      </w:r>
    </w:p>
    <w:p w14:paraId="5B4E53C4" w14:textId="09ACDD50" w:rsidR="00EC1F41" w:rsidRDefault="00EC1F41" w:rsidP="00EC1F41">
      <w:pPr>
        <w:pStyle w:val="PargrafodaLista"/>
        <w:numPr>
          <w:ilvl w:val="0"/>
          <w:numId w:val="7"/>
        </w:numPr>
        <w:spacing w:before="120" w:line="360" w:lineRule="auto"/>
        <w:rPr>
          <w:rFonts w:ascii="Times New Roman" w:hAnsi="Times New Roman"/>
        </w:rPr>
      </w:pPr>
      <w:proofErr w:type="gramStart"/>
      <w:r>
        <w:rPr>
          <w:rFonts w:ascii="Times New Roman" w:hAnsi="Times New Roman"/>
        </w:rPr>
        <w:t>promova</w:t>
      </w:r>
      <w:proofErr w:type="gramEnd"/>
      <w:r>
        <w:rPr>
          <w:rFonts w:ascii="Times New Roman" w:hAnsi="Times New Roman"/>
        </w:rPr>
        <w:t xml:space="preserve"> </w:t>
      </w:r>
      <w:r w:rsidR="008815EB" w:rsidRPr="00EC1F41">
        <w:rPr>
          <w:rFonts w:ascii="Times New Roman" w:hAnsi="Times New Roman"/>
        </w:rPr>
        <w:t>a inclusão de</w:t>
      </w:r>
      <w:r>
        <w:rPr>
          <w:rFonts w:ascii="Times New Roman" w:hAnsi="Times New Roman"/>
        </w:rPr>
        <w:t xml:space="preserve"> um</w:t>
      </w:r>
      <w:r w:rsidR="008815EB" w:rsidRPr="00EC1F41">
        <w:rPr>
          <w:rFonts w:ascii="Times New Roman" w:hAnsi="Times New Roman"/>
        </w:rPr>
        <w:t xml:space="preserve"> </w:t>
      </w:r>
      <w:r w:rsidRPr="00EC1F41">
        <w:rPr>
          <w:rFonts w:ascii="Times New Roman" w:hAnsi="Times New Roman"/>
        </w:rPr>
        <w:t xml:space="preserve">“sumário executivo” </w:t>
      </w:r>
      <w:r w:rsidR="009863D6">
        <w:rPr>
          <w:rFonts w:ascii="Times New Roman" w:hAnsi="Times New Roman"/>
        </w:rPr>
        <w:t>no</w:t>
      </w:r>
      <w:r w:rsidRPr="00EC1F41">
        <w:rPr>
          <w:rFonts w:ascii="Times New Roman" w:hAnsi="Times New Roman"/>
        </w:rPr>
        <w:t xml:space="preserve"> RSB que apresente com clareza o estágio atual da evolução da PNSB, bem como as lacunas que ainda devem ser preenchidas</w:t>
      </w:r>
      <w:r w:rsidR="009863D6">
        <w:rPr>
          <w:rFonts w:ascii="Times New Roman" w:hAnsi="Times New Roman"/>
        </w:rPr>
        <w:t>; e</w:t>
      </w:r>
    </w:p>
    <w:p w14:paraId="387A25A3" w14:textId="77A70BCD" w:rsidR="008815EB" w:rsidRPr="00EC1F41" w:rsidRDefault="009863D6" w:rsidP="00EC1F41">
      <w:pPr>
        <w:pStyle w:val="PargrafodaLista"/>
        <w:numPr>
          <w:ilvl w:val="0"/>
          <w:numId w:val="7"/>
        </w:numPr>
        <w:spacing w:before="120" w:line="360" w:lineRule="auto"/>
        <w:rPr>
          <w:rFonts w:ascii="Times New Roman" w:hAnsi="Times New Roman"/>
        </w:rPr>
      </w:pPr>
      <w:proofErr w:type="gramStart"/>
      <w:r>
        <w:rPr>
          <w:rFonts w:ascii="Times New Roman" w:hAnsi="Times New Roman"/>
        </w:rPr>
        <w:t>inclua</w:t>
      </w:r>
      <w:proofErr w:type="gramEnd"/>
      <w:r>
        <w:rPr>
          <w:rFonts w:ascii="Times New Roman" w:hAnsi="Times New Roman"/>
        </w:rPr>
        <w:t xml:space="preserve"> </w:t>
      </w:r>
      <w:r w:rsidR="008815EB" w:rsidRPr="00EC1F41">
        <w:rPr>
          <w:rFonts w:ascii="Times New Roman" w:hAnsi="Times New Roman"/>
        </w:rPr>
        <w:t xml:space="preserve">um glossário </w:t>
      </w:r>
      <w:r>
        <w:rPr>
          <w:rFonts w:ascii="Times New Roman" w:hAnsi="Times New Roman"/>
        </w:rPr>
        <w:t xml:space="preserve">que auxilie o leitor </w:t>
      </w:r>
      <w:r w:rsidR="008815EB" w:rsidRPr="00EC1F41">
        <w:rPr>
          <w:rFonts w:ascii="Times New Roman" w:hAnsi="Times New Roman"/>
        </w:rPr>
        <w:t xml:space="preserve">na compreensão do documento, </w:t>
      </w:r>
      <w:r w:rsidR="007B09A0">
        <w:rPr>
          <w:rFonts w:ascii="Times New Roman" w:hAnsi="Times New Roman"/>
        </w:rPr>
        <w:t>tornando claro</w:t>
      </w:r>
      <w:r w:rsidR="008815EB" w:rsidRPr="00EC1F41">
        <w:rPr>
          <w:rFonts w:ascii="Times New Roman" w:hAnsi="Times New Roman"/>
        </w:rPr>
        <w:t xml:space="preserve">, por exemplo, </w:t>
      </w:r>
      <w:r w:rsidR="007B09A0">
        <w:rPr>
          <w:rFonts w:ascii="Times New Roman" w:hAnsi="Times New Roman"/>
        </w:rPr>
        <w:t xml:space="preserve">a </w:t>
      </w:r>
      <w:r w:rsidR="008815EB" w:rsidRPr="00EC1F41">
        <w:rPr>
          <w:rFonts w:ascii="Times New Roman" w:hAnsi="Times New Roman"/>
        </w:rPr>
        <w:t xml:space="preserve">diferença entre barragens “cadastradas” e </w:t>
      </w:r>
      <w:r>
        <w:rPr>
          <w:rFonts w:ascii="Times New Roman" w:hAnsi="Times New Roman"/>
        </w:rPr>
        <w:t>“enquadradas”.</w:t>
      </w:r>
    </w:p>
    <w:p w14:paraId="48D05E94" w14:textId="02AA612F" w:rsidR="00EC1F41" w:rsidRPr="007B09A0" w:rsidRDefault="009863D6" w:rsidP="007B09A0">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7B09A0">
        <w:rPr>
          <w:rFonts w:ascii="Times New Roman" w:hAnsi="Times New Roman"/>
          <w:bCs/>
          <w:color w:val="000000"/>
          <w:sz w:val="24"/>
          <w:szCs w:val="24"/>
          <w:lang w:eastAsia="pt-BR"/>
        </w:rPr>
        <w:t xml:space="preserve">Recomenda-se que o CNRH envie comunicado </w:t>
      </w:r>
      <w:r w:rsidR="00AB6572" w:rsidRPr="007B09A0">
        <w:rPr>
          <w:rFonts w:ascii="Times New Roman" w:hAnsi="Times New Roman"/>
          <w:bCs/>
          <w:color w:val="000000"/>
          <w:sz w:val="24"/>
          <w:szCs w:val="24"/>
          <w:lang w:eastAsia="pt-BR"/>
        </w:rPr>
        <w:t>a</w:t>
      </w:r>
      <w:r w:rsidRPr="007B09A0">
        <w:rPr>
          <w:rFonts w:ascii="Times New Roman" w:hAnsi="Times New Roman"/>
          <w:bCs/>
          <w:color w:val="000000"/>
          <w:sz w:val="24"/>
          <w:szCs w:val="24"/>
          <w:lang w:eastAsia="pt-BR"/>
        </w:rPr>
        <w:t xml:space="preserve">os fiscalizadores: </w:t>
      </w:r>
    </w:p>
    <w:p w14:paraId="4242D84B" w14:textId="55D0311F" w:rsidR="009863D6" w:rsidRDefault="007B09A0" w:rsidP="00DF4BDD">
      <w:pPr>
        <w:pStyle w:val="PargrafodaLista"/>
        <w:numPr>
          <w:ilvl w:val="0"/>
          <w:numId w:val="8"/>
        </w:numPr>
        <w:spacing w:before="120" w:line="360" w:lineRule="auto"/>
        <w:rPr>
          <w:rFonts w:ascii="Times New Roman" w:hAnsi="Times New Roman"/>
        </w:rPr>
      </w:pPr>
      <w:proofErr w:type="gramStart"/>
      <w:r>
        <w:rPr>
          <w:rFonts w:ascii="Times New Roman" w:hAnsi="Times New Roman"/>
        </w:rPr>
        <w:lastRenderedPageBreak/>
        <w:t>para</w:t>
      </w:r>
      <w:proofErr w:type="gramEnd"/>
      <w:r>
        <w:rPr>
          <w:rFonts w:ascii="Times New Roman" w:hAnsi="Times New Roman"/>
        </w:rPr>
        <w:t xml:space="preserve"> reforçar</w:t>
      </w:r>
      <w:r w:rsidR="009863D6" w:rsidRPr="00DF4BDD">
        <w:rPr>
          <w:rFonts w:ascii="Times New Roman" w:hAnsi="Times New Roman"/>
        </w:rPr>
        <w:t xml:space="preserve"> o entendimento de que, na hipótese da não possibilidade de identificação do explorador de uma barragem e respectivo reservatório, deve-se indicar como responsável legal pela segurança aquele que detém direito real sobre as terras onde se localiza o empreendimento;</w:t>
      </w:r>
    </w:p>
    <w:p w14:paraId="016577E6" w14:textId="58657D21" w:rsidR="00AB6572" w:rsidRDefault="007B09A0" w:rsidP="00AB6572">
      <w:pPr>
        <w:pStyle w:val="PargrafodaLista"/>
        <w:numPr>
          <w:ilvl w:val="0"/>
          <w:numId w:val="8"/>
        </w:numPr>
        <w:spacing w:before="120" w:line="360" w:lineRule="auto"/>
        <w:rPr>
          <w:rFonts w:ascii="Times New Roman" w:hAnsi="Times New Roman"/>
        </w:rPr>
      </w:pPr>
      <w:proofErr w:type="gramStart"/>
      <w:r>
        <w:rPr>
          <w:rFonts w:ascii="Times New Roman" w:hAnsi="Times New Roman"/>
        </w:rPr>
        <w:t>para</w:t>
      </w:r>
      <w:proofErr w:type="gramEnd"/>
      <w:r>
        <w:rPr>
          <w:rFonts w:ascii="Times New Roman" w:hAnsi="Times New Roman"/>
        </w:rPr>
        <w:t xml:space="preserve"> solicitar a promoção de </w:t>
      </w:r>
      <w:r w:rsidR="00AB6572" w:rsidRPr="00AB6572">
        <w:rPr>
          <w:rFonts w:ascii="Times New Roman" w:hAnsi="Times New Roman"/>
        </w:rPr>
        <w:t>campanhas de divulgação da PNSB e</w:t>
      </w:r>
      <w:r>
        <w:rPr>
          <w:rFonts w:ascii="Times New Roman" w:hAnsi="Times New Roman"/>
        </w:rPr>
        <w:t xml:space="preserve"> o</w:t>
      </w:r>
      <w:r w:rsidR="00AB6572" w:rsidRPr="00AB6572">
        <w:rPr>
          <w:rFonts w:ascii="Times New Roman" w:hAnsi="Times New Roman"/>
        </w:rPr>
        <w:t xml:space="preserve"> chamamento dos empreendedores para</w:t>
      </w:r>
      <w:r>
        <w:rPr>
          <w:rFonts w:ascii="Times New Roman" w:hAnsi="Times New Roman"/>
        </w:rPr>
        <w:t xml:space="preserve"> o</w:t>
      </w:r>
      <w:r w:rsidR="00AB6572" w:rsidRPr="00AB6572">
        <w:rPr>
          <w:rFonts w:ascii="Times New Roman" w:hAnsi="Times New Roman"/>
        </w:rPr>
        <w:t xml:space="preserve"> cumprimento das obrigações legais;</w:t>
      </w:r>
    </w:p>
    <w:p w14:paraId="2B92F3A5" w14:textId="619F4CC0" w:rsidR="00AB6572" w:rsidRDefault="007B09A0" w:rsidP="00AB6572">
      <w:pPr>
        <w:pStyle w:val="PargrafodaLista"/>
        <w:numPr>
          <w:ilvl w:val="0"/>
          <w:numId w:val="8"/>
        </w:numPr>
        <w:spacing w:before="120" w:line="360" w:lineRule="auto"/>
        <w:rPr>
          <w:rFonts w:ascii="Times New Roman" w:hAnsi="Times New Roman"/>
        </w:rPr>
      </w:pPr>
      <w:proofErr w:type="gramStart"/>
      <w:r>
        <w:rPr>
          <w:rFonts w:ascii="Times New Roman" w:hAnsi="Times New Roman"/>
        </w:rPr>
        <w:t>requerendo</w:t>
      </w:r>
      <w:proofErr w:type="gramEnd"/>
      <w:r>
        <w:rPr>
          <w:rFonts w:ascii="Times New Roman" w:hAnsi="Times New Roman"/>
        </w:rPr>
        <w:t xml:space="preserve"> </w:t>
      </w:r>
      <w:r w:rsidR="00AB6572">
        <w:rPr>
          <w:rFonts w:ascii="Times New Roman" w:hAnsi="Times New Roman"/>
        </w:rPr>
        <w:t xml:space="preserve">que </w:t>
      </w:r>
      <w:r w:rsidR="00AB6572" w:rsidRPr="00AB6572">
        <w:rPr>
          <w:rFonts w:ascii="Times New Roman" w:hAnsi="Times New Roman"/>
        </w:rPr>
        <w:t>apresent</w:t>
      </w:r>
      <w:r w:rsidR="00AB6572">
        <w:rPr>
          <w:rFonts w:ascii="Times New Roman" w:hAnsi="Times New Roman"/>
        </w:rPr>
        <w:t>em ao CNRH, para as barragens situadas em sua área de atuação,</w:t>
      </w:r>
      <w:r w:rsidR="00AB6572" w:rsidRPr="00AB6572">
        <w:rPr>
          <w:rFonts w:ascii="Times New Roman" w:hAnsi="Times New Roman"/>
        </w:rPr>
        <w:t xml:space="preserve"> a situação d</w:t>
      </w:r>
      <w:r w:rsidR="00AB6572">
        <w:rPr>
          <w:rFonts w:ascii="Times New Roman" w:hAnsi="Times New Roman"/>
        </w:rPr>
        <w:t>o</w:t>
      </w:r>
      <w:r w:rsidR="00AB6572" w:rsidRPr="00AB6572">
        <w:rPr>
          <w:rFonts w:ascii="Times New Roman" w:hAnsi="Times New Roman"/>
        </w:rPr>
        <w:t xml:space="preserve"> cumprimento do art. 19 da Lei nº 12.334</w:t>
      </w:r>
      <w:r w:rsidR="00AB6572">
        <w:rPr>
          <w:rFonts w:ascii="Times New Roman" w:hAnsi="Times New Roman"/>
        </w:rPr>
        <w:t xml:space="preserve">, de </w:t>
      </w:r>
      <w:r w:rsidR="00AB6572" w:rsidRPr="00AB6572">
        <w:rPr>
          <w:rFonts w:ascii="Times New Roman" w:hAnsi="Times New Roman"/>
        </w:rPr>
        <w:t>2010;</w:t>
      </w:r>
    </w:p>
    <w:p w14:paraId="0E955A49" w14:textId="2360D0D8" w:rsidR="00AB6572" w:rsidRDefault="007B09A0" w:rsidP="00AB6572">
      <w:pPr>
        <w:pStyle w:val="PargrafodaLista"/>
        <w:numPr>
          <w:ilvl w:val="0"/>
          <w:numId w:val="8"/>
        </w:numPr>
        <w:spacing w:before="120" w:line="360" w:lineRule="auto"/>
        <w:rPr>
          <w:rFonts w:ascii="Times New Roman" w:hAnsi="Times New Roman"/>
        </w:rPr>
      </w:pPr>
      <w:proofErr w:type="gramStart"/>
      <w:r>
        <w:rPr>
          <w:rFonts w:ascii="Times New Roman" w:hAnsi="Times New Roman"/>
        </w:rPr>
        <w:t>solicitando</w:t>
      </w:r>
      <w:proofErr w:type="gramEnd"/>
      <w:r>
        <w:rPr>
          <w:rFonts w:ascii="Times New Roman" w:hAnsi="Times New Roman"/>
        </w:rPr>
        <w:t xml:space="preserve"> </w:t>
      </w:r>
      <w:r w:rsidR="00AB6572">
        <w:rPr>
          <w:rFonts w:ascii="Times New Roman" w:hAnsi="Times New Roman"/>
        </w:rPr>
        <w:t xml:space="preserve">que concluam a elaboração dos regulamentos especificados nos </w:t>
      </w:r>
      <w:proofErr w:type="spellStart"/>
      <w:r w:rsidR="00AB6572">
        <w:rPr>
          <w:rFonts w:ascii="Times New Roman" w:hAnsi="Times New Roman"/>
        </w:rPr>
        <w:t>arts</w:t>
      </w:r>
      <w:proofErr w:type="spellEnd"/>
      <w:r w:rsidR="00AB6572">
        <w:rPr>
          <w:rFonts w:ascii="Times New Roman" w:hAnsi="Times New Roman"/>
        </w:rPr>
        <w:t>. 8º, 9º, 10 e 11 da Lei nº 12.334, de 2010; e</w:t>
      </w:r>
    </w:p>
    <w:p w14:paraId="440410DC" w14:textId="403BA03F" w:rsidR="00AB6572" w:rsidRPr="00AB6572" w:rsidRDefault="00AB6572" w:rsidP="00AB6572">
      <w:pPr>
        <w:pStyle w:val="PargrafodaLista"/>
        <w:numPr>
          <w:ilvl w:val="0"/>
          <w:numId w:val="8"/>
        </w:numPr>
        <w:spacing w:before="120" w:line="360" w:lineRule="auto"/>
        <w:rPr>
          <w:rFonts w:ascii="Times New Roman" w:hAnsi="Times New Roman"/>
        </w:rPr>
      </w:pPr>
      <w:proofErr w:type="gramStart"/>
      <w:r>
        <w:rPr>
          <w:rFonts w:ascii="Times New Roman" w:hAnsi="Times New Roman"/>
        </w:rPr>
        <w:t>solicitando</w:t>
      </w:r>
      <w:proofErr w:type="gramEnd"/>
      <w:r>
        <w:rPr>
          <w:rFonts w:ascii="Times New Roman" w:hAnsi="Times New Roman"/>
        </w:rPr>
        <w:t xml:space="preserve"> que se articulem no sentido de promover a </w:t>
      </w:r>
      <w:proofErr w:type="spellStart"/>
      <w:r>
        <w:rPr>
          <w:rFonts w:ascii="Times New Roman" w:hAnsi="Times New Roman"/>
        </w:rPr>
        <w:t>pactuação</w:t>
      </w:r>
      <w:proofErr w:type="spellEnd"/>
      <w:r>
        <w:rPr>
          <w:rFonts w:ascii="Times New Roman" w:hAnsi="Times New Roman"/>
        </w:rPr>
        <w:t xml:space="preserve"> de metas a serem cumpridas para fins de plena implementação da PNSB, (além das </w:t>
      </w:r>
      <w:r w:rsidRPr="00EC1F41">
        <w:rPr>
          <w:rFonts w:ascii="Times New Roman" w:hAnsi="Times New Roman" w:cs="Times New Roman"/>
        </w:rPr>
        <w:t>já estabelecidas para o caso dos Estados no PROGESTÃO</w:t>
      </w:r>
      <w:r>
        <w:rPr>
          <w:rFonts w:ascii="Times New Roman" w:hAnsi="Times New Roman" w:cs="Times New Roman"/>
        </w:rPr>
        <w:t>)</w:t>
      </w:r>
      <w:r w:rsidRPr="00EC1F41">
        <w:rPr>
          <w:rFonts w:ascii="Times New Roman" w:hAnsi="Times New Roman" w:cs="Times New Roman"/>
        </w:rPr>
        <w:t xml:space="preserve">, destacando-se a adequação de dimensionamento das equipes técnicas ao número de barragens sob responsabilidade de cada </w:t>
      </w:r>
      <w:r>
        <w:rPr>
          <w:rFonts w:ascii="Times New Roman" w:hAnsi="Times New Roman" w:cs="Times New Roman"/>
        </w:rPr>
        <w:t>f</w:t>
      </w:r>
      <w:r w:rsidRPr="00EC1F41">
        <w:rPr>
          <w:rFonts w:ascii="Times New Roman" w:hAnsi="Times New Roman" w:cs="Times New Roman"/>
        </w:rPr>
        <w:t>iscalizador e o estabelecimento de critérios de priorização das ações de fiscalização</w:t>
      </w:r>
      <w:r>
        <w:rPr>
          <w:rFonts w:ascii="Times New Roman" w:hAnsi="Times New Roman" w:cs="Times New Roman"/>
        </w:rPr>
        <w:t>.</w:t>
      </w:r>
    </w:p>
    <w:p w14:paraId="35702D9F" w14:textId="495A6F11" w:rsidR="00AB6572" w:rsidRPr="00596E55" w:rsidRDefault="00596E55" w:rsidP="00596E55">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596E55">
        <w:rPr>
          <w:rFonts w:ascii="Times New Roman" w:hAnsi="Times New Roman"/>
          <w:bCs/>
          <w:color w:val="000000"/>
          <w:sz w:val="24"/>
          <w:szCs w:val="24"/>
          <w:lang w:eastAsia="pt-BR"/>
        </w:rPr>
        <w:t>Recomenda-se também que o CNRH demande à CTAP que:</w:t>
      </w:r>
    </w:p>
    <w:p w14:paraId="69C59277" w14:textId="3E8BBDD6" w:rsidR="008815EB" w:rsidRPr="00596E55" w:rsidRDefault="00596E55" w:rsidP="00596E55">
      <w:pPr>
        <w:pStyle w:val="PargrafodaLista"/>
        <w:numPr>
          <w:ilvl w:val="0"/>
          <w:numId w:val="9"/>
        </w:numPr>
        <w:spacing w:before="120" w:line="360" w:lineRule="auto"/>
        <w:rPr>
          <w:rFonts w:ascii="Times New Roman" w:hAnsi="Times New Roman"/>
        </w:rPr>
      </w:pPr>
      <w:proofErr w:type="gramStart"/>
      <w:r>
        <w:rPr>
          <w:rFonts w:ascii="Times New Roman" w:hAnsi="Times New Roman"/>
        </w:rPr>
        <w:t>no</w:t>
      </w:r>
      <w:proofErr w:type="gramEnd"/>
      <w:r>
        <w:rPr>
          <w:rFonts w:ascii="Times New Roman" w:hAnsi="Times New Roman"/>
        </w:rPr>
        <w:t xml:space="preserve"> curso do processo de </w:t>
      </w:r>
      <w:r w:rsidR="008815EB" w:rsidRPr="00596E55">
        <w:rPr>
          <w:rFonts w:ascii="Times New Roman" w:hAnsi="Times New Roman"/>
        </w:rPr>
        <w:t>revisão da Resolução nº 144</w:t>
      </w:r>
      <w:r>
        <w:rPr>
          <w:rFonts w:ascii="Times New Roman" w:hAnsi="Times New Roman"/>
        </w:rPr>
        <w:t xml:space="preserve">, de </w:t>
      </w:r>
      <w:r w:rsidR="008815EB" w:rsidRPr="00596E55">
        <w:rPr>
          <w:rFonts w:ascii="Times New Roman" w:hAnsi="Times New Roman"/>
        </w:rPr>
        <w:t>2012, apresente proposta de aprimoramento do RSB</w:t>
      </w:r>
      <w:r>
        <w:rPr>
          <w:rFonts w:ascii="Times New Roman" w:hAnsi="Times New Roman"/>
        </w:rPr>
        <w:t>,</w:t>
      </w:r>
      <w:r w:rsidR="008815EB" w:rsidRPr="00596E55">
        <w:rPr>
          <w:rFonts w:ascii="Times New Roman" w:hAnsi="Times New Roman"/>
        </w:rPr>
        <w:t xml:space="preserve"> abrangendo não só o conteúdo mínimo do relatório, mas também fornecendo orientações sobre a estruturação das análises, de forma a subsidiar o CNRH na propositura de melhorias para a segurança das obras;</w:t>
      </w:r>
    </w:p>
    <w:p w14:paraId="5B90C20F" w14:textId="64588DF1" w:rsidR="008815EB" w:rsidRPr="00596E55" w:rsidRDefault="00596E55" w:rsidP="00596E55">
      <w:pPr>
        <w:pStyle w:val="PargrafodaLista"/>
        <w:numPr>
          <w:ilvl w:val="0"/>
          <w:numId w:val="9"/>
        </w:numPr>
        <w:spacing w:before="120" w:line="360" w:lineRule="auto"/>
        <w:rPr>
          <w:rFonts w:ascii="Times New Roman" w:hAnsi="Times New Roman"/>
        </w:rPr>
      </w:pPr>
      <w:proofErr w:type="gramStart"/>
      <w:r>
        <w:rPr>
          <w:rFonts w:ascii="Times New Roman" w:hAnsi="Times New Roman"/>
        </w:rPr>
        <w:t>no</w:t>
      </w:r>
      <w:proofErr w:type="gramEnd"/>
      <w:r>
        <w:rPr>
          <w:rFonts w:ascii="Times New Roman" w:hAnsi="Times New Roman"/>
        </w:rPr>
        <w:t xml:space="preserve"> curso do processo de revisão da Resolução</w:t>
      </w:r>
      <w:r w:rsidR="008815EB" w:rsidRPr="00596E55">
        <w:rPr>
          <w:rFonts w:ascii="Times New Roman" w:hAnsi="Times New Roman"/>
        </w:rPr>
        <w:t xml:space="preserve"> nº 143, apresente proposta de aprimoramento dos critérios de classificação</w:t>
      </w:r>
      <w:r>
        <w:rPr>
          <w:rFonts w:ascii="Times New Roman" w:hAnsi="Times New Roman"/>
        </w:rPr>
        <w:t xml:space="preserve"> de barragens por categoria de risco e de dano potencial</w:t>
      </w:r>
      <w:r w:rsidR="008815EB" w:rsidRPr="00596E55">
        <w:rPr>
          <w:rFonts w:ascii="Times New Roman" w:hAnsi="Times New Roman"/>
        </w:rPr>
        <w:t>, especialmente para os casos de barragens sem informação e com risco estrutural e operacional;</w:t>
      </w:r>
    </w:p>
    <w:p w14:paraId="5B71A9B1" w14:textId="21F5BF9D" w:rsidR="008815EB" w:rsidRPr="00596E55" w:rsidRDefault="00596E55" w:rsidP="00596E55">
      <w:pPr>
        <w:pStyle w:val="PargrafodaLista"/>
        <w:numPr>
          <w:ilvl w:val="0"/>
          <w:numId w:val="9"/>
        </w:numPr>
        <w:spacing w:before="120" w:line="360" w:lineRule="auto"/>
        <w:rPr>
          <w:rFonts w:ascii="Times New Roman" w:hAnsi="Times New Roman"/>
        </w:rPr>
      </w:pPr>
      <w:proofErr w:type="gramStart"/>
      <w:r>
        <w:rPr>
          <w:rFonts w:ascii="Times New Roman" w:hAnsi="Times New Roman"/>
        </w:rPr>
        <w:t>avalie</w:t>
      </w:r>
      <w:proofErr w:type="gramEnd"/>
      <w:r>
        <w:rPr>
          <w:rFonts w:ascii="Times New Roman" w:hAnsi="Times New Roman"/>
        </w:rPr>
        <w:t xml:space="preserve"> a necessidade</w:t>
      </w:r>
      <w:r w:rsidR="008815EB" w:rsidRPr="00596E55">
        <w:rPr>
          <w:rFonts w:ascii="Times New Roman" w:hAnsi="Times New Roman"/>
        </w:rPr>
        <w:t xml:space="preserve"> de</w:t>
      </w:r>
      <w:r>
        <w:rPr>
          <w:rFonts w:ascii="Times New Roman" w:hAnsi="Times New Roman"/>
        </w:rPr>
        <w:t xml:space="preserve"> edição de regulamento</w:t>
      </w:r>
      <w:r w:rsidR="008815EB" w:rsidRPr="00596E55">
        <w:rPr>
          <w:rFonts w:ascii="Times New Roman" w:hAnsi="Times New Roman"/>
        </w:rPr>
        <w:t xml:space="preserve"> </w:t>
      </w:r>
      <w:r>
        <w:rPr>
          <w:rFonts w:ascii="Times New Roman" w:hAnsi="Times New Roman"/>
        </w:rPr>
        <w:t>que defina</w:t>
      </w:r>
      <w:r w:rsidR="008815EB" w:rsidRPr="00596E55">
        <w:rPr>
          <w:rFonts w:ascii="Times New Roman" w:hAnsi="Times New Roman"/>
        </w:rPr>
        <w:t xml:space="preserve"> critérios mínimos a serem observados para fiscalizadores </w:t>
      </w:r>
      <w:r>
        <w:rPr>
          <w:rFonts w:ascii="Times New Roman" w:hAnsi="Times New Roman"/>
        </w:rPr>
        <w:t xml:space="preserve">na </w:t>
      </w:r>
      <w:r w:rsidR="008815EB" w:rsidRPr="00596E55">
        <w:rPr>
          <w:rFonts w:ascii="Times New Roman" w:hAnsi="Times New Roman"/>
        </w:rPr>
        <w:t>elabora</w:t>
      </w:r>
      <w:r>
        <w:rPr>
          <w:rFonts w:ascii="Times New Roman" w:hAnsi="Times New Roman"/>
        </w:rPr>
        <w:t xml:space="preserve">ção de metodologia de </w:t>
      </w:r>
      <w:r w:rsidR="008815EB" w:rsidRPr="00596E55">
        <w:rPr>
          <w:rFonts w:ascii="Times New Roman" w:hAnsi="Times New Roman"/>
        </w:rPr>
        <w:t>fiscalizaçã</w:t>
      </w:r>
      <w:r>
        <w:rPr>
          <w:rFonts w:ascii="Times New Roman" w:hAnsi="Times New Roman"/>
        </w:rPr>
        <w:t>o de barragens e na definição das</w:t>
      </w:r>
      <w:r w:rsidR="008815EB" w:rsidRPr="00596E55">
        <w:rPr>
          <w:rFonts w:ascii="Times New Roman" w:hAnsi="Times New Roman"/>
        </w:rPr>
        <w:t xml:space="preserve"> atividades de monitoramento respectivas;</w:t>
      </w:r>
      <w:r>
        <w:rPr>
          <w:rFonts w:ascii="Times New Roman" w:hAnsi="Times New Roman"/>
        </w:rPr>
        <w:t xml:space="preserve"> e</w:t>
      </w:r>
    </w:p>
    <w:p w14:paraId="3287C8E3" w14:textId="61F9F331" w:rsidR="008815EB" w:rsidRPr="00596E55" w:rsidRDefault="008815EB" w:rsidP="00596E55">
      <w:pPr>
        <w:pStyle w:val="PargrafodaLista"/>
        <w:numPr>
          <w:ilvl w:val="0"/>
          <w:numId w:val="9"/>
        </w:numPr>
        <w:spacing w:before="120" w:line="360" w:lineRule="auto"/>
        <w:rPr>
          <w:rFonts w:ascii="Times New Roman" w:hAnsi="Times New Roman"/>
        </w:rPr>
      </w:pPr>
      <w:proofErr w:type="gramStart"/>
      <w:r w:rsidRPr="00596E55">
        <w:rPr>
          <w:rFonts w:ascii="Times New Roman" w:hAnsi="Times New Roman"/>
        </w:rPr>
        <w:lastRenderedPageBreak/>
        <w:t>analise</w:t>
      </w:r>
      <w:proofErr w:type="gramEnd"/>
      <w:r w:rsidRPr="00596E55">
        <w:rPr>
          <w:rFonts w:ascii="Times New Roman" w:hAnsi="Times New Roman"/>
        </w:rPr>
        <w:t xml:space="preserve"> os </w:t>
      </w:r>
      <w:r w:rsidR="00596E55">
        <w:rPr>
          <w:rFonts w:ascii="Times New Roman" w:hAnsi="Times New Roman"/>
        </w:rPr>
        <w:t>numeroso</w:t>
      </w:r>
      <w:r w:rsidRPr="00596E55">
        <w:rPr>
          <w:rFonts w:ascii="Times New Roman" w:hAnsi="Times New Roman"/>
        </w:rPr>
        <w:t xml:space="preserve"> Projetos de Lei </w:t>
      </w:r>
      <w:r w:rsidR="00596E55">
        <w:rPr>
          <w:rFonts w:ascii="Times New Roman" w:hAnsi="Times New Roman"/>
        </w:rPr>
        <w:t>em trâmite nas duas Casas L</w:t>
      </w:r>
      <w:r w:rsidRPr="00596E55">
        <w:rPr>
          <w:rFonts w:ascii="Times New Roman" w:hAnsi="Times New Roman"/>
        </w:rPr>
        <w:t xml:space="preserve">egislativas, e emita parecer, com o intuito de contribuir para a construção dos projetos em pauta, </w:t>
      </w:r>
      <w:r w:rsidR="00596E55">
        <w:rPr>
          <w:rFonts w:ascii="Times New Roman" w:hAnsi="Times New Roman"/>
        </w:rPr>
        <w:t>tendo em vista que</w:t>
      </w:r>
      <w:r w:rsidRPr="00596E55">
        <w:rPr>
          <w:rFonts w:ascii="Times New Roman" w:hAnsi="Times New Roman"/>
        </w:rPr>
        <w:t xml:space="preserve"> a segurança de barragens é indissociável da gestão e</w:t>
      </w:r>
      <w:r w:rsidR="00596E55">
        <w:rPr>
          <w:rFonts w:ascii="Times New Roman" w:hAnsi="Times New Roman"/>
        </w:rPr>
        <w:t xml:space="preserve"> da proteção dos recursos hídricos.</w:t>
      </w:r>
    </w:p>
    <w:p w14:paraId="1E328149" w14:textId="7A50BAE9" w:rsidR="008815EB" w:rsidRPr="00596E55" w:rsidRDefault="00596E55" w:rsidP="00596E55">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596E55">
        <w:rPr>
          <w:rFonts w:ascii="Times New Roman" w:hAnsi="Times New Roman"/>
          <w:bCs/>
          <w:color w:val="000000"/>
          <w:sz w:val="24"/>
          <w:szCs w:val="24"/>
          <w:lang w:eastAsia="pt-BR"/>
        </w:rPr>
        <w:t xml:space="preserve">Por fim, entende-se que o CNRH deve avaliar a </w:t>
      </w:r>
      <w:r w:rsidR="008815EB" w:rsidRPr="00596E55">
        <w:rPr>
          <w:rFonts w:ascii="Times New Roman" w:hAnsi="Times New Roman"/>
          <w:bCs/>
          <w:color w:val="000000"/>
          <w:sz w:val="24"/>
          <w:szCs w:val="24"/>
          <w:lang w:eastAsia="pt-BR"/>
        </w:rPr>
        <w:t>conveniência de sugerir ao Congresso Nacional a adequação do texto da Lei nº 12.334, de 2010, de modo a deixar claro que a PNSB se aplica a todas as barragens, embora alguns instrumentos sejam destinados àquelas de que apresentam maior risco.</w:t>
      </w:r>
    </w:p>
    <w:p w14:paraId="129698AD" w14:textId="77777777" w:rsidR="008815EB" w:rsidRPr="00EC1F41" w:rsidRDefault="008815EB" w:rsidP="00ED2841">
      <w:pPr>
        <w:numPr>
          <w:ilvl w:val="0"/>
          <w:numId w:val="1"/>
        </w:numPr>
        <w:suppressAutoHyphens w:val="0"/>
        <w:snapToGrid w:val="0"/>
        <w:spacing w:after="120" w:line="360" w:lineRule="auto"/>
        <w:ind w:left="0" w:firstLine="0"/>
        <w:jc w:val="both"/>
        <w:rPr>
          <w:rFonts w:ascii="Times New Roman" w:hAnsi="Times New Roman"/>
          <w:bCs/>
          <w:color w:val="000000"/>
          <w:sz w:val="24"/>
          <w:szCs w:val="24"/>
          <w:lang w:eastAsia="pt-BR"/>
        </w:rPr>
      </w:pPr>
      <w:r w:rsidRPr="00EC1F41">
        <w:rPr>
          <w:rFonts w:ascii="Times New Roman" w:hAnsi="Times New Roman"/>
          <w:bCs/>
          <w:color w:val="000000"/>
          <w:sz w:val="24"/>
          <w:szCs w:val="24"/>
          <w:lang w:eastAsia="pt-BR"/>
        </w:rPr>
        <w:t>Assim, encaminhamos este Parecer Técnico à Plenária do CNRH para apreciação e tomada das ações que forem julgadas cabíveis, com vistas ao encaminhamento do Relatório de Segurança de Barragens 2016 ao Congresso Nacional.</w:t>
      </w:r>
    </w:p>
    <w:p w14:paraId="1AA98201" w14:textId="77777777" w:rsidR="007822E8" w:rsidRDefault="007822E8" w:rsidP="008815EB">
      <w:pPr>
        <w:tabs>
          <w:tab w:val="left" w:pos="2127"/>
          <w:tab w:val="left" w:pos="3119"/>
        </w:tabs>
        <w:spacing w:after="120"/>
        <w:ind w:firstLine="851"/>
        <w:rPr>
          <w:rFonts w:ascii="Times New Roman" w:hAnsi="Times New Roman"/>
          <w:sz w:val="24"/>
          <w:szCs w:val="24"/>
        </w:rPr>
      </w:pPr>
    </w:p>
    <w:p w14:paraId="6367CD89" w14:textId="015450B9" w:rsidR="008815EB" w:rsidRPr="0041335A" w:rsidRDefault="008815EB" w:rsidP="008815EB">
      <w:pPr>
        <w:tabs>
          <w:tab w:val="left" w:pos="2127"/>
          <w:tab w:val="left" w:pos="3119"/>
        </w:tabs>
        <w:spacing w:after="120"/>
        <w:ind w:firstLine="851"/>
        <w:rPr>
          <w:rFonts w:ascii="Times New Roman" w:hAnsi="Times New Roman"/>
          <w:sz w:val="24"/>
          <w:szCs w:val="24"/>
        </w:rPr>
      </w:pPr>
      <w:r>
        <w:rPr>
          <w:rFonts w:ascii="Times New Roman" w:hAnsi="Times New Roman"/>
          <w:sz w:val="24"/>
          <w:szCs w:val="24"/>
        </w:rPr>
        <w:t>É</w:t>
      </w:r>
      <w:r w:rsidRPr="0041335A">
        <w:rPr>
          <w:rFonts w:ascii="Times New Roman" w:hAnsi="Times New Roman"/>
          <w:sz w:val="24"/>
          <w:szCs w:val="24"/>
        </w:rPr>
        <w:t xml:space="preserve"> o parecer</w:t>
      </w:r>
      <w:r>
        <w:rPr>
          <w:rFonts w:ascii="Times New Roman" w:hAnsi="Times New Roman"/>
          <w:sz w:val="24"/>
          <w:szCs w:val="24"/>
        </w:rPr>
        <w:t>.</w:t>
      </w:r>
      <w:r w:rsidRPr="0041335A">
        <w:rPr>
          <w:rFonts w:ascii="Times New Roman" w:hAnsi="Times New Roman"/>
          <w:sz w:val="24"/>
          <w:szCs w:val="24"/>
        </w:rPr>
        <w:tab/>
      </w:r>
      <w:r w:rsidRPr="0041335A">
        <w:rPr>
          <w:rFonts w:ascii="Times New Roman" w:hAnsi="Times New Roman"/>
          <w:sz w:val="24"/>
          <w:szCs w:val="24"/>
        </w:rPr>
        <w:tab/>
      </w:r>
      <w:r w:rsidRPr="0041335A">
        <w:rPr>
          <w:rFonts w:ascii="Times New Roman" w:hAnsi="Times New Roman"/>
          <w:sz w:val="24"/>
          <w:szCs w:val="24"/>
        </w:rPr>
        <w:tab/>
      </w:r>
      <w:r w:rsidRPr="0041335A">
        <w:rPr>
          <w:rFonts w:ascii="Times New Roman" w:hAnsi="Times New Roman"/>
          <w:sz w:val="24"/>
          <w:szCs w:val="24"/>
        </w:rPr>
        <w:tab/>
      </w:r>
      <w:r w:rsidRPr="0041335A">
        <w:rPr>
          <w:rFonts w:ascii="Times New Roman" w:hAnsi="Times New Roman"/>
          <w:sz w:val="24"/>
          <w:szCs w:val="24"/>
        </w:rPr>
        <w:tab/>
      </w:r>
      <w:r w:rsidRPr="0041335A">
        <w:rPr>
          <w:rFonts w:ascii="Times New Roman" w:hAnsi="Times New Roman"/>
          <w:sz w:val="24"/>
          <w:szCs w:val="24"/>
        </w:rPr>
        <w:tab/>
      </w:r>
      <w:r w:rsidRPr="0041335A">
        <w:rPr>
          <w:rFonts w:ascii="Times New Roman" w:hAnsi="Times New Roman"/>
          <w:sz w:val="24"/>
          <w:szCs w:val="24"/>
        </w:rPr>
        <w:tab/>
      </w:r>
    </w:p>
    <w:p w14:paraId="2044F8A8" w14:textId="77777777" w:rsidR="008815EB" w:rsidRPr="0041335A" w:rsidRDefault="008815EB" w:rsidP="008815EB">
      <w:pPr>
        <w:tabs>
          <w:tab w:val="left" w:pos="2127"/>
          <w:tab w:val="left" w:pos="3119"/>
        </w:tabs>
        <w:spacing w:before="120" w:after="120"/>
        <w:ind w:left="567"/>
        <w:jc w:val="right"/>
        <w:rPr>
          <w:rFonts w:ascii="Times New Roman" w:hAnsi="Times New Roman"/>
          <w:sz w:val="24"/>
          <w:szCs w:val="24"/>
        </w:rPr>
      </w:pPr>
      <w:r>
        <w:rPr>
          <w:rFonts w:ascii="Times New Roman" w:hAnsi="Times New Roman"/>
          <w:sz w:val="24"/>
          <w:szCs w:val="24"/>
        </w:rPr>
        <w:t>Brasília</w:t>
      </w:r>
      <w:r w:rsidRPr="0041335A">
        <w:rPr>
          <w:rFonts w:ascii="Times New Roman" w:hAnsi="Times New Roman"/>
          <w:sz w:val="24"/>
          <w:szCs w:val="24"/>
        </w:rPr>
        <w:t>, 6 de novembro de 2017.</w:t>
      </w:r>
    </w:p>
    <w:p w14:paraId="1104107D" w14:textId="77777777" w:rsidR="008815EB" w:rsidRPr="0041335A" w:rsidRDefault="008815EB" w:rsidP="008815EB">
      <w:pPr>
        <w:tabs>
          <w:tab w:val="left" w:pos="2127"/>
          <w:tab w:val="left" w:pos="3119"/>
        </w:tabs>
        <w:spacing w:before="120" w:after="120"/>
        <w:ind w:left="567"/>
        <w:jc w:val="right"/>
        <w:rPr>
          <w:rFonts w:ascii="Times New Roman" w:hAnsi="Times New Roman"/>
          <w:sz w:val="24"/>
          <w:szCs w:val="24"/>
        </w:rPr>
      </w:pPr>
    </w:p>
    <w:p w14:paraId="63F93B83" w14:textId="2BC1937A" w:rsidR="008815EB" w:rsidRDefault="008815EB" w:rsidP="008815EB">
      <w:pPr>
        <w:tabs>
          <w:tab w:val="left" w:pos="2127"/>
          <w:tab w:val="left" w:pos="3119"/>
        </w:tabs>
        <w:spacing w:before="120" w:after="120"/>
        <w:ind w:left="567"/>
        <w:jc w:val="right"/>
        <w:rPr>
          <w:rFonts w:ascii="Times New Roman" w:hAnsi="Times New Roman"/>
          <w:sz w:val="24"/>
          <w:szCs w:val="24"/>
        </w:rPr>
      </w:pPr>
    </w:p>
    <w:p w14:paraId="3C436A5D" w14:textId="77777777" w:rsidR="007822E8" w:rsidRDefault="007822E8" w:rsidP="008815EB">
      <w:pPr>
        <w:tabs>
          <w:tab w:val="left" w:pos="2127"/>
          <w:tab w:val="left" w:pos="3119"/>
        </w:tabs>
        <w:spacing w:before="120" w:after="120"/>
        <w:ind w:left="567"/>
        <w:jc w:val="right"/>
        <w:rPr>
          <w:rFonts w:ascii="Times New Roman" w:hAnsi="Times New Roman"/>
          <w:sz w:val="24"/>
          <w:szCs w:val="24"/>
        </w:rPr>
      </w:pPr>
    </w:p>
    <w:p w14:paraId="15B69FD7" w14:textId="77777777" w:rsidR="007822E8" w:rsidRDefault="007822E8" w:rsidP="00596E55">
      <w:pPr>
        <w:tabs>
          <w:tab w:val="left" w:pos="2127"/>
          <w:tab w:val="left" w:pos="3119"/>
        </w:tabs>
        <w:spacing w:before="120" w:after="120"/>
        <w:ind w:left="567"/>
        <w:jc w:val="center"/>
        <w:rPr>
          <w:rFonts w:ascii="Times New Roman" w:hAnsi="Times New Roman"/>
          <w:sz w:val="24"/>
          <w:szCs w:val="24"/>
        </w:rPr>
        <w:sectPr w:rsidR="007822E8">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pPr>
    </w:p>
    <w:p w14:paraId="37270470" w14:textId="6BBDA206" w:rsidR="007822E8" w:rsidRPr="007822E8" w:rsidRDefault="007822E8" w:rsidP="00596E55">
      <w:pPr>
        <w:tabs>
          <w:tab w:val="left" w:pos="2127"/>
          <w:tab w:val="left" w:pos="3119"/>
        </w:tabs>
        <w:spacing w:before="120" w:after="120"/>
        <w:ind w:left="567"/>
        <w:jc w:val="center"/>
        <w:rPr>
          <w:rFonts w:ascii="Times New Roman" w:hAnsi="Times New Roman"/>
          <w:b/>
          <w:sz w:val="24"/>
          <w:szCs w:val="24"/>
        </w:rPr>
      </w:pPr>
      <w:r w:rsidRPr="007822E8">
        <w:rPr>
          <w:rFonts w:ascii="Times New Roman" w:hAnsi="Times New Roman"/>
          <w:b/>
          <w:sz w:val="24"/>
          <w:szCs w:val="24"/>
        </w:rPr>
        <w:t>Cássio Giuliani Carvalho</w:t>
      </w:r>
    </w:p>
    <w:p w14:paraId="5553FF2D" w14:textId="07002614" w:rsidR="00596E55" w:rsidRPr="007822E8" w:rsidRDefault="007822E8" w:rsidP="00596E55">
      <w:pPr>
        <w:tabs>
          <w:tab w:val="left" w:pos="2127"/>
          <w:tab w:val="left" w:pos="3119"/>
        </w:tabs>
        <w:spacing w:before="120" w:after="120"/>
        <w:ind w:left="567"/>
        <w:jc w:val="center"/>
        <w:rPr>
          <w:rFonts w:ascii="Times New Roman" w:hAnsi="Times New Roman"/>
          <w:sz w:val="24"/>
          <w:szCs w:val="24"/>
        </w:rPr>
      </w:pPr>
      <w:r w:rsidRPr="007822E8">
        <w:rPr>
          <w:rFonts w:ascii="Times New Roman" w:hAnsi="Times New Roman"/>
          <w:sz w:val="24"/>
          <w:szCs w:val="24"/>
        </w:rPr>
        <w:t>Coordenador do GT</w:t>
      </w:r>
    </w:p>
    <w:p w14:paraId="73579D8A" w14:textId="2D370F27" w:rsidR="007822E8" w:rsidRPr="007822E8" w:rsidRDefault="007822E8" w:rsidP="00596E55">
      <w:pPr>
        <w:tabs>
          <w:tab w:val="left" w:pos="2127"/>
          <w:tab w:val="left" w:pos="3119"/>
        </w:tabs>
        <w:spacing w:before="120" w:after="120"/>
        <w:ind w:left="567"/>
        <w:jc w:val="center"/>
        <w:rPr>
          <w:rFonts w:ascii="Times New Roman" w:hAnsi="Times New Roman"/>
          <w:b/>
          <w:sz w:val="24"/>
          <w:szCs w:val="24"/>
        </w:rPr>
      </w:pPr>
      <w:r w:rsidRPr="007822E8">
        <w:rPr>
          <w:rFonts w:ascii="Times New Roman" w:hAnsi="Times New Roman"/>
          <w:b/>
          <w:sz w:val="24"/>
          <w:szCs w:val="24"/>
        </w:rPr>
        <w:t>Jussara Cabral Cruz</w:t>
      </w:r>
    </w:p>
    <w:p w14:paraId="4A13BA2D" w14:textId="64FDB00C" w:rsidR="007822E8" w:rsidRPr="0041335A" w:rsidRDefault="007822E8" w:rsidP="00596E55">
      <w:pPr>
        <w:tabs>
          <w:tab w:val="left" w:pos="2127"/>
          <w:tab w:val="left" w:pos="3119"/>
        </w:tabs>
        <w:spacing w:before="120" w:after="120"/>
        <w:ind w:left="567"/>
        <w:jc w:val="center"/>
        <w:rPr>
          <w:rFonts w:ascii="Times New Roman" w:hAnsi="Times New Roman"/>
          <w:sz w:val="24"/>
          <w:szCs w:val="24"/>
        </w:rPr>
      </w:pPr>
      <w:r>
        <w:rPr>
          <w:rFonts w:ascii="Times New Roman" w:hAnsi="Times New Roman"/>
          <w:sz w:val="24"/>
          <w:szCs w:val="24"/>
        </w:rPr>
        <w:t>Relatora do GT</w:t>
      </w:r>
    </w:p>
    <w:p w14:paraId="276F8C8B" w14:textId="77777777" w:rsidR="007822E8" w:rsidRDefault="007822E8">
      <w:pPr>
        <w:sectPr w:rsidR="007822E8" w:rsidSect="007822E8">
          <w:type w:val="continuous"/>
          <w:pgSz w:w="11906" w:h="16838"/>
          <w:pgMar w:top="1417" w:right="1701" w:bottom="1417" w:left="1701" w:header="708" w:footer="708" w:gutter="0"/>
          <w:cols w:num="2" w:space="708"/>
          <w:docGrid w:linePitch="360"/>
        </w:sectPr>
      </w:pPr>
    </w:p>
    <w:p w14:paraId="67DBB4E8" w14:textId="1A1EB76D" w:rsidR="00687424" w:rsidRDefault="00687424"/>
    <w:sectPr w:rsidR="00687424" w:rsidSect="007822E8">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428CD" w14:textId="77777777" w:rsidR="003D22EF" w:rsidRDefault="003D22EF" w:rsidP="008815EB">
      <w:r>
        <w:separator/>
      </w:r>
    </w:p>
  </w:endnote>
  <w:endnote w:type="continuationSeparator" w:id="0">
    <w:p w14:paraId="1D85F630" w14:textId="77777777" w:rsidR="003D22EF" w:rsidRDefault="003D22EF" w:rsidP="0088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06766" w14:textId="77777777" w:rsidR="00137C60" w:rsidRDefault="00137C6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D23E2" w14:textId="77777777" w:rsidR="00137C60" w:rsidRDefault="00137C60">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49D0" w14:textId="77777777" w:rsidR="00137C60" w:rsidRDefault="00137C6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96B9D" w14:textId="77777777" w:rsidR="003D22EF" w:rsidRDefault="003D22EF" w:rsidP="008815EB">
      <w:r>
        <w:separator/>
      </w:r>
    </w:p>
  </w:footnote>
  <w:footnote w:type="continuationSeparator" w:id="0">
    <w:p w14:paraId="51F8A28F" w14:textId="77777777" w:rsidR="003D22EF" w:rsidRDefault="003D22EF" w:rsidP="00881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43549" w14:textId="77777777" w:rsidR="00137C60" w:rsidRDefault="00137C6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2" w:type="dxa"/>
      <w:jc w:val="center"/>
      <w:tblLayout w:type="fixed"/>
      <w:tblLook w:val="0000" w:firstRow="0" w:lastRow="0" w:firstColumn="0" w:lastColumn="0" w:noHBand="0" w:noVBand="0"/>
    </w:tblPr>
    <w:tblGrid>
      <w:gridCol w:w="1417"/>
      <w:gridCol w:w="7665"/>
    </w:tblGrid>
    <w:tr w:rsidR="00AB6572" w14:paraId="3E2D771F" w14:textId="77777777" w:rsidTr="008815EB">
      <w:trPr>
        <w:trHeight w:hRule="exact" w:val="1287"/>
        <w:jc w:val="center"/>
      </w:trPr>
      <w:tc>
        <w:tcPr>
          <w:tcW w:w="1417" w:type="dxa"/>
          <w:vMerge w:val="restart"/>
          <w:tcBorders>
            <w:top w:val="single" w:sz="1" w:space="0" w:color="000000"/>
            <w:left w:val="single" w:sz="1" w:space="0" w:color="000000"/>
            <w:bottom w:val="single" w:sz="1" w:space="0" w:color="000000"/>
          </w:tcBorders>
        </w:tcPr>
        <w:p w14:paraId="2B4AB097" w14:textId="77777777" w:rsidR="00AB6572" w:rsidRDefault="00AB6572" w:rsidP="008815EB">
          <w:pPr>
            <w:pStyle w:val="Ttulo3"/>
          </w:pPr>
          <w:r>
            <w:rPr>
              <w:noProof/>
              <w:lang w:eastAsia="pt-BR"/>
            </w:rPr>
            <w:drawing>
              <wp:anchor distT="0" distB="0" distL="114935" distR="114935" simplePos="0" relativeHeight="251659264" behindDoc="0" locked="0" layoutInCell="1" allowOverlap="1" wp14:anchorId="07B4E3ED" wp14:editId="757DFDE1">
                <wp:simplePos x="0" y="0"/>
                <wp:positionH relativeFrom="column">
                  <wp:posOffset>76422</wp:posOffset>
                </wp:positionH>
                <wp:positionV relativeFrom="paragraph">
                  <wp:posOffset>54058</wp:posOffset>
                </wp:positionV>
                <wp:extent cx="606030" cy="876710"/>
                <wp:effectExtent l="0" t="0" r="381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030" cy="87671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935" distR="114935" simplePos="0" relativeHeight="251661312" behindDoc="0" locked="0" layoutInCell="1" allowOverlap="1" wp14:anchorId="1C312F43" wp14:editId="25EEE666">
                <wp:simplePos x="0" y="0"/>
                <wp:positionH relativeFrom="column">
                  <wp:posOffset>-440005470</wp:posOffset>
                </wp:positionH>
                <wp:positionV relativeFrom="paragraph">
                  <wp:posOffset>-221085741</wp:posOffset>
                </wp:positionV>
                <wp:extent cx="555032" cy="80293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032" cy="80293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7665" w:type="dxa"/>
          <w:tcBorders>
            <w:top w:val="single" w:sz="1" w:space="0" w:color="000000"/>
            <w:left w:val="single" w:sz="1" w:space="0" w:color="000000"/>
            <w:right w:val="single" w:sz="1" w:space="0" w:color="000000"/>
          </w:tcBorders>
          <w:vAlign w:val="center"/>
        </w:tcPr>
        <w:p w14:paraId="6B654980" w14:textId="77777777" w:rsidR="00AB6572" w:rsidRPr="00FD1055" w:rsidRDefault="00AB6572" w:rsidP="008815EB">
          <w:pPr>
            <w:pStyle w:val="Estilo6"/>
            <w:rPr>
              <w:bCs/>
              <w:caps/>
              <w:sz w:val="20"/>
            </w:rPr>
          </w:pPr>
          <w:r w:rsidRPr="00FD1055">
            <w:rPr>
              <w:bCs/>
              <w:caps/>
              <w:sz w:val="20"/>
            </w:rPr>
            <w:t xml:space="preserve">MINISTÉRIO DO MEIO AMBIENTE </w:t>
          </w:r>
        </w:p>
        <w:p w14:paraId="27C199A1" w14:textId="77777777" w:rsidR="00AB6572" w:rsidRPr="00FD1055" w:rsidRDefault="00AB6572" w:rsidP="008815EB">
          <w:pPr>
            <w:pStyle w:val="Estilo6"/>
            <w:rPr>
              <w:bCs/>
              <w:caps/>
              <w:sz w:val="20"/>
            </w:rPr>
          </w:pPr>
          <w:r w:rsidRPr="00FD1055">
            <w:rPr>
              <w:bCs/>
              <w:caps/>
              <w:sz w:val="20"/>
            </w:rPr>
            <w:t>conselho nacional de recursos hídricos</w:t>
          </w:r>
        </w:p>
        <w:p w14:paraId="492F7F24" w14:textId="77777777" w:rsidR="00AB6572" w:rsidRPr="00AC03B0" w:rsidRDefault="00AB6572" w:rsidP="008815EB">
          <w:pPr>
            <w:pStyle w:val="Estilo6"/>
            <w:rPr>
              <w:bCs/>
              <w:caps/>
              <w:sz w:val="20"/>
            </w:rPr>
          </w:pPr>
          <w:r w:rsidRPr="00FD1055">
            <w:rPr>
              <w:bCs/>
              <w:caps/>
              <w:sz w:val="20"/>
            </w:rPr>
            <w:t xml:space="preserve">Câmara Técnica de </w:t>
          </w:r>
          <w:r>
            <w:rPr>
              <w:bCs/>
              <w:caps/>
              <w:sz w:val="20"/>
            </w:rPr>
            <w:t>ANÁLISE DE PROJETO</w:t>
          </w:r>
        </w:p>
      </w:tc>
    </w:tr>
    <w:tr w:rsidR="00AB6572" w14:paraId="5F9D6692" w14:textId="77777777" w:rsidTr="008815EB">
      <w:trPr>
        <w:trHeight w:val="64"/>
        <w:jc w:val="center"/>
      </w:trPr>
      <w:tc>
        <w:tcPr>
          <w:tcW w:w="1417" w:type="dxa"/>
          <w:vMerge/>
          <w:tcBorders>
            <w:top w:val="single" w:sz="1" w:space="0" w:color="000000"/>
            <w:left w:val="single" w:sz="1" w:space="0" w:color="000000"/>
            <w:bottom w:val="single" w:sz="1" w:space="0" w:color="000000"/>
          </w:tcBorders>
        </w:tcPr>
        <w:p w14:paraId="713FC171" w14:textId="77777777" w:rsidR="00AB6572" w:rsidRDefault="00AB6572" w:rsidP="008815EB">
          <w:pPr>
            <w:snapToGrid w:val="0"/>
            <w:rPr>
              <w:bCs/>
              <w:caps/>
              <w:sz w:val="16"/>
              <w:szCs w:val="16"/>
            </w:rPr>
          </w:pPr>
        </w:p>
      </w:tc>
      <w:tc>
        <w:tcPr>
          <w:tcW w:w="7665" w:type="dxa"/>
          <w:tcBorders>
            <w:left w:val="single" w:sz="1" w:space="0" w:color="000000"/>
            <w:bottom w:val="single" w:sz="1" w:space="0" w:color="000000"/>
            <w:right w:val="single" w:sz="1" w:space="0" w:color="000000"/>
          </w:tcBorders>
        </w:tcPr>
        <w:p w14:paraId="35ECFC72" w14:textId="77777777" w:rsidR="00AB6572" w:rsidRDefault="00AB6572" w:rsidP="008815EB">
          <w:pPr>
            <w:pStyle w:val="Ttulo6"/>
            <w:tabs>
              <w:tab w:val="left" w:pos="0"/>
            </w:tabs>
            <w:snapToGrid w:val="0"/>
            <w:spacing w:before="0"/>
            <w:rPr>
              <w:b/>
            </w:rPr>
          </w:pPr>
        </w:p>
      </w:tc>
    </w:tr>
  </w:tbl>
  <w:sdt>
    <w:sdtPr>
      <w:id w:val="-1392490668"/>
      <w:docPartObj>
        <w:docPartGallery w:val="Watermarks"/>
        <w:docPartUnique/>
      </w:docPartObj>
    </w:sdtPr>
    <w:sdtContent>
      <w:p w14:paraId="3474E1FB" w14:textId="3E50D2C7" w:rsidR="00AB6572" w:rsidRDefault="00137C60">
        <w:pPr>
          <w:pStyle w:val="Cabealho"/>
        </w:pPr>
        <w:r>
          <w:pict w14:anchorId="4E5591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509.45pt;height:89.9pt;rotation:315;z-index:-251653120;mso-position-horizontal:center;mso-position-horizontal-relative:margin;mso-position-vertical:center;mso-position-vertical-relative:margin" o:allowincell="f" fillcolor="silver" stroked="f">
              <v:fill opacity=".5"/>
              <v:textpath style="font-family:&quot;calibri&quot;;font-size:1pt" string="VERSÃO PRELIMINAR"/>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57C81" w14:textId="77777777" w:rsidR="00137C60" w:rsidRDefault="00137C6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F17DC"/>
    <w:multiLevelType w:val="hybridMultilevel"/>
    <w:tmpl w:val="27AA09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3074E08"/>
    <w:multiLevelType w:val="hybridMultilevel"/>
    <w:tmpl w:val="8446E668"/>
    <w:lvl w:ilvl="0" w:tplc="0416000F">
      <w:start w:val="1"/>
      <w:numFmt w:val="decimal"/>
      <w:lvlText w:val="%1."/>
      <w:lvlJc w:val="left"/>
      <w:pPr>
        <w:ind w:left="9224" w:hanging="360"/>
      </w:pPr>
    </w:lvl>
    <w:lvl w:ilvl="1" w:tplc="04160019">
      <w:start w:val="1"/>
      <w:numFmt w:val="lowerLetter"/>
      <w:lvlText w:val="%2."/>
      <w:lvlJc w:val="left"/>
      <w:pPr>
        <w:ind w:left="9944" w:hanging="360"/>
      </w:pPr>
    </w:lvl>
    <w:lvl w:ilvl="2" w:tplc="0416001B" w:tentative="1">
      <w:start w:val="1"/>
      <w:numFmt w:val="lowerRoman"/>
      <w:lvlText w:val="%3."/>
      <w:lvlJc w:val="right"/>
      <w:pPr>
        <w:ind w:left="10664" w:hanging="180"/>
      </w:pPr>
    </w:lvl>
    <w:lvl w:ilvl="3" w:tplc="0416000F" w:tentative="1">
      <w:start w:val="1"/>
      <w:numFmt w:val="decimal"/>
      <w:lvlText w:val="%4."/>
      <w:lvlJc w:val="left"/>
      <w:pPr>
        <w:ind w:left="11384" w:hanging="360"/>
      </w:pPr>
    </w:lvl>
    <w:lvl w:ilvl="4" w:tplc="04160019" w:tentative="1">
      <w:start w:val="1"/>
      <w:numFmt w:val="lowerLetter"/>
      <w:lvlText w:val="%5."/>
      <w:lvlJc w:val="left"/>
      <w:pPr>
        <w:ind w:left="12104" w:hanging="360"/>
      </w:pPr>
    </w:lvl>
    <w:lvl w:ilvl="5" w:tplc="0416001B" w:tentative="1">
      <w:start w:val="1"/>
      <w:numFmt w:val="lowerRoman"/>
      <w:lvlText w:val="%6."/>
      <w:lvlJc w:val="right"/>
      <w:pPr>
        <w:ind w:left="12824" w:hanging="180"/>
      </w:pPr>
    </w:lvl>
    <w:lvl w:ilvl="6" w:tplc="0416000F" w:tentative="1">
      <w:start w:val="1"/>
      <w:numFmt w:val="decimal"/>
      <w:lvlText w:val="%7."/>
      <w:lvlJc w:val="left"/>
      <w:pPr>
        <w:ind w:left="13544" w:hanging="360"/>
      </w:pPr>
    </w:lvl>
    <w:lvl w:ilvl="7" w:tplc="04160019" w:tentative="1">
      <w:start w:val="1"/>
      <w:numFmt w:val="lowerLetter"/>
      <w:lvlText w:val="%8."/>
      <w:lvlJc w:val="left"/>
      <w:pPr>
        <w:ind w:left="14264" w:hanging="360"/>
      </w:pPr>
    </w:lvl>
    <w:lvl w:ilvl="8" w:tplc="0416001B" w:tentative="1">
      <w:start w:val="1"/>
      <w:numFmt w:val="lowerRoman"/>
      <w:lvlText w:val="%9."/>
      <w:lvlJc w:val="right"/>
      <w:pPr>
        <w:ind w:left="14984" w:hanging="180"/>
      </w:pPr>
    </w:lvl>
  </w:abstractNum>
  <w:abstractNum w:abstractNumId="2" w15:restartNumberingAfterBreak="0">
    <w:nsid w:val="35DB55A5"/>
    <w:multiLevelType w:val="hybridMultilevel"/>
    <w:tmpl w:val="BBAA22C2"/>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7A876C8"/>
    <w:multiLevelType w:val="hybridMultilevel"/>
    <w:tmpl w:val="72BADCF2"/>
    <w:lvl w:ilvl="0" w:tplc="04160017">
      <w:start w:val="1"/>
      <w:numFmt w:val="lowerLetter"/>
      <w:lvlText w:val="%1)"/>
      <w:lvlJc w:val="left"/>
      <w:pPr>
        <w:ind w:left="1060" w:hanging="360"/>
      </w:p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4" w15:restartNumberingAfterBreak="0">
    <w:nsid w:val="46E17648"/>
    <w:multiLevelType w:val="hybridMultilevel"/>
    <w:tmpl w:val="DA00CDF2"/>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CCD0BB2"/>
    <w:multiLevelType w:val="hybridMultilevel"/>
    <w:tmpl w:val="B484CA06"/>
    <w:lvl w:ilvl="0" w:tplc="04160017">
      <w:start w:val="1"/>
      <w:numFmt w:val="lowerLetter"/>
      <w:lvlText w:val="%1)"/>
      <w:lvlJc w:val="left"/>
      <w:pPr>
        <w:ind w:left="1060" w:hanging="360"/>
      </w:p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6" w15:restartNumberingAfterBreak="0">
    <w:nsid w:val="5B686F5B"/>
    <w:multiLevelType w:val="hybridMultilevel"/>
    <w:tmpl w:val="096021FA"/>
    <w:lvl w:ilvl="0" w:tplc="2912E490">
      <w:start w:val="1"/>
      <w:numFmt w:val="lowerLetter"/>
      <w:lvlText w:val="%1)"/>
      <w:lvlJc w:val="left"/>
      <w:pPr>
        <w:ind w:left="700" w:hanging="36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7" w15:restartNumberingAfterBreak="0">
    <w:nsid w:val="5BEF1AE0"/>
    <w:multiLevelType w:val="hybridMultilevel"/>
    <w:tmpl w:val="859E8A98"/>
    <w:lvl w:ilvl="0" w:tplc="04160017">
      <w:start w:val="1"/>
      <w:numFmt w:val="lowerLetter"/>
      <w:lvlText w:val="%1)"/>
      <w:lvlJc w:val="left"/>
      <w:pPr>
        <w:ind w:left="1422" w:hanging="360"/>
      </w:pPr>
      <w:rPr>
        <w:rFonts w:hint="default"/>
      </w:rPr>
    </w:lvl>
    <w:lvl w:ilvl="1" w:tplc="04160003" w:tentative="1">
      <w:start w:val="1"/>
      <w:numFmt w:val="bullet"/>
      <w:lvlText w:val="o"/>
      <w:lvlJc w:val="left"/>
      <w:pPr>
        <w:ind w:left="2142" w:hanging="360"/>
      </w:pPr>
      <w:rPr>
        <w:rFonts w:ascii="Courier New" w:hAnsi="Courier New" w:cs="Courier New" w:hint="default"/>
      </w:rPr>
    </w:lvl>
    <w:lvl w:ilvl="2" w:tplc="04160005" w:tentative="1">
      <w:start w:val="1"/>
      <w:numFmt w:val="bullet"/>
      <w:lvlText w:val=""/>
      <w:lvlJc w:val="left"/>
      <w:pPr>
        <w:ind w:left="2862" w:hanging="360"/>
      </w:pPr>
      <w:rPr>
        <w:rFonts w:ascii="Wingdings" w:hAnsi="Wingdings" w:hint="default"/>
      </w:rPr>
    </w:lvl>
    <w:lvl w:ilvl="3" w:tplc="04160001" w:tentative="1">
      <w:start w:val="1"/>
      <w:numFmt w:val="bullet"/>
      <w:lvlText w:val=""/>
      <w:lvlJc w:val="left"/>
      <w:pPr>
        <w:ind w:left="3582" w:hanging="360"/>
      </w:pPr>
      <w:rPr>
        <w:rFonts w:ascii="Symbol" w:hAnsi="Symbol" w:hint="default"/>
      </w:rPr>
    </w:lvl>
    <w:lvl w:ilvl="4" w:tplc="04160003" w:tentative="1">
      <w:start w:val="1"/>
      <w:numFmt w:val="bullet"/>
      <w:lvlText w:val="o"/>
      <w:lvlJc w:val="left"/>
      <w:pPr>
        <w:ind w:left="4302" w:hanging="360"/>
      </w:pPr>
      <w:rPr>
        <w:rFonts w:ascii="Courier New" w:hAnsi="Courier New" w:cs="Courier New" w:hint="default"/>
      </w:rPr>
    </w:lvl>
    <w:lvl w:ilvl="5" w:tplc="04160005" w:tentative="1">
      <w:start w:val="1"/>
      <w:numFmt w:val="bullet"/>
      <w:lvlText w:val=""/>
      <w:lvlJc w:val="left"/>
      <w:pPr>
        <w:ind w:left="5022" w:hanging="360"/>
      </w:pPr>
      <w:rPr>
        <w:rFonts w:ascii="Wingdings" w:hAnsi="Wingdings" w:hint="default"/>
      </w:rPr>
    </w:lvl>
    <w:lvl w:ilvl="6" w:tplc="04160001" w:tentative="1">
      <w:start w:val="1"/>
      <w:numFmt w:val="bullet"/>
      <w:lvlText w:val=""/>
      <w:lvlJc w:val="left"/>
      <w:pPr>
        <w:ind w:left="5742" w:hanging="360"/>
      </w:pPr>
      <w:rPr>
        <w:rFonts w:ascii="Symbol" w:hAnsi="Symbol" w:hint="default"/>
      </w:rPr>
    </w:lvl>
    <w:lvl w:ilvl="7" w:tplc="04160003" w:tentative="1">
      <w:start w:val="1"/>
      <w:numFmt w:val="bullet"/>
      <w:lvlText w:val="o"/>
      <w:lvlJc w:val="left"/>
      <w:pPr>
        <w:ind w:left="6462" w:hanging="360"/>
      </w:pPr>
      <w:rPr>
        <w:rFonts w:ascii="Courier New" w:hAnsi="Courier New" w:cs="Courier New" w:hint="default"/>
      </w:rPr>
    </w:lvl>
    <w:lvl w:ilvl="8" w:tplc="04160005" w:tentative="1">
      <w:start w:val="1"/>
      <w:numFmt w:val="bullet"/>
      <w:lvlText w:val=""/>
      <w:lvlJc w:val="left"/>
      <w:pPr>
        <w:ind w:left="7182" w:hanging="360"/>
      </w:pPr>
      <w:rPr>
        <w:rFonts w:ascii="Wingdings" w:hAnsi="Wingdings" w:hint="default"/>
      </w:rPr>
    </w:lvl>
  </w:abstractNum>
  <w:abstractNum w:abstractNumId="8" w15:restartNumberingAfterBreak="0">
    <w:nsid w:val="6F0D1289"/>
    <w:multiLevelType w:val="hybridMultilevel"/>
    <w:tmpl w:val="83A6E4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2"/>
  </w:num>
  <w:num w:numId="5">
    <w:abstractNumId w:val="0"/>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5EB"/>
    <w:rsid w:val="000335AA"/>
    <w:rsid w:val="0009112A"/>
    <w:rsid w:val="00137C60"/>
    <w:rsid w:val="00230B84"/>
    <w:rsid w:val="002363AE"/>
    <w:rsid w:val="00260D9F"/>
    <w:rsid w:val="002963A8"/>
    <w:rsid w:val="0030600C"/>
    <w:rsid w:val="003D144E"/>
    <w:rsid w:val="003D22EF"/>
    <w:rsid w:val="004B5457"/>
    <w:rsid w:val="00596E55"/>
    <w:rsid w:val="005E25B7"/>
    <w:rsid w:val="00687424"/>
    <w:rsid w:val="006C4450"/>
    <w:rsid w:val="007822E8"/>
    <w:rsid w:val="007B09A0"/>
    <w:rsid w:val="007E2D57"/>
    <w:rsid w:val="008815EB"/>
    <w:rsid w:val="008C5A5F"/>
    <w:rsid w:val="00973F8F"/>
    <w:rsid w:val="009863D6"/>
    <w:rsid w:val="009D528A"/>
    <w:rsid w:val="00A611E3"/>
    <w:rsid w:val="00AB6572"/>
    <w:rsid w:val="00AC65CF"/>
    <w:rsid w:val="00AF6813"/>
    <w:rsid w:val="00B904DB"/>
    <w:rsid w:val="00BB26D8"/>
    <w:rsid w:val="00BF5BAB"/>
    <w:rsid w:val="00C101E2"/>
    <w:rsid w:val="00DA5423"/>
    <w:rsid w:val="00DF4BDD"/>
    <w:rsid w:val="00E437D9"/>
    <w:rsid w:val="00EC1F41"/>
    <w:rsid w:val="00ED2841"/>
    <w:rsid w:val="00F754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617560"/>
  <w15:chartTrackingRefBased/>
  <w15:docId w15:val="{1B4ECAFB-B257-4EE0-A66D-74BA4281D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5EB"/>
    <w:pPr>
      <w:suppressAutoHyphens/>
      <w:spacing w:after="0" w:line="240" w:lineRule="auto"/>
    </w:pPr>
    <w:rPr>
      <w:rFonts w:ascii="Arial" w:eastAsia="Times New Roman" w:hAnsi="Arial" w:cs="Times New Roman"/>
      <w:sz w:val="18"/>
      <w:szCs w:val="20"/>
      <w:lang w:eastAsia="ar-SA"/>
    </w:rPr>
  </w:style>
  <w:style w:type="paragraph" w:styleId="Ttulo1">
    <w:name w:val="heading 1"/>
    <w:basedOn w:val="Normal"/>
    <w:next w:val="Normal"/>
    <w:link w:val="Ttulo1Char"/>
    <w:qFormat/>
    <w:rsid w:val="008815EB"/>
    <w:pPr>
      <w:keepNext/>
      <w:spacing w:before="240" w:after="120"/>
      <w:outlineLvl w:val="0"/>
    </w:pPr>
    <w:rPr>
      <w:rFonts w:cs="Arial"/>
      <w:b/>
      <w:sz w:val="24"/>
    </w:rPr>
  </w:style>
  <w:style w:type="paragraph" w:styleId="Ttulo2">
    <w:name w:val="heading 2"/>
    <w:basedOn w:val="Normal"/>
    <w:next w:val="Normal"/>
    <w:link w:val="Ttulo2Char"/>
    <w:qFormat/>
    <w:rsid w:val="008815EB"/>
    <w:pPr>
      <w:keepNext/>
      <w:spacing w:before="120" w:after="120"/>
      <w:jc w:val="both"/>
      <w:outlineLvl w:val="1"/>
    </w:pPr>
    <w:rPr>
      <w:rFonts w:ascii="Times New Roman" w:hAnsi="Times New Roman"/>
      <w:b/>
      <w:sz w:val="24"/>
      <w:szCs w:val="24"/>
    </w:rPr>
  </w:style>
  <w:style w:type="paragraph" w:styleId="Ttulo3">
    <w:name w:val="heading 3"/>
    <w:basedOn w:val="Normal"/>
    <w:next w:val="Normal"/>
    <w:link w:val="Ttulo3Char"/>
    <w:qFormat/>
    <w:rsid w:val="008815EB"/>
    <w:pPr>
      <w:keepNext/>
      <w:spacing w:before="120" w:after="120"/>
      <w:ind w:left="360"/>
      <w:outlineLvl w:val="2"/>
    </w:pPr>
    <w:rPr>
      <w:rFonts w:ascii="Times New Roman" w:hAnsi="Times New Roman"/>
      <w:sz w:val="24"/>
      <w:szCs w:val="24"/>
      <w:u w:val="single"/>
    </w:rPr>
  </w:style>
  <w:style w:type="paragraph" w:styleId="Ttulo6">
    <w:name w:val="heading 6"/>
    <w:basedOn w:val="Normal"/>
    <w:next w:val="Normal"/>
    <w:link w:val="Ttulo6Char"/>
    <w:uiPriority w:val="9"/>
    <w:semiHidden/>
    <w:unhideWhenUsed/>
    <w:qFormat/>
    <w:rsid w:val="008815EB"/>
    <w:pPr>
      <w:keepNext/>
      <w:keepLines/>
      <w:spacing w:before="4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815EB"/>
    <w:rPr>
      <w:rFonts w:ascii="Arial" w:eastAsia="Times New Roman" w:hAnsi="Arial" w:cs="Arial"/>
      <w:b/>
      <w:sz w:val="24"/>
      <w:szCs w:val="20"/>
      <w:lang w:eastAsia="ar-SA"/>
    </w:rPr>
  </w:style>
  <w:style w:type="character" w:customStyle="1" w:styleId="Ttulo2Char">
    <w:name w:val="Título 2 Char"/>
    <w:basedOn w:val="Fontepargpadro"/>
    <w:link w:val="Ttulo2"/>
    <w:rsid w:val="008815EB"/>
    <w:rPr>
      <w:rFonts w:ascii="Times New Roman" w:eastAsia="Times New Roman" w:hAnsi="Times New Roman" w:cs="Times New Roman"/>
      <w:b/>
      <w:sz w:val="24"/>
      <w:szCs w:val="24"/>
      <w:lang w:eastAsia="ar-SA"/>
    </w:rPr>
  </w:style>
  <w:style w:type="character" w:customStyle="1" w:styleId="Ttulo3Char">
    <w:name w:val="Título 3 Char"/>
    <w:basedOn w:val="Fontepargpadro"/>
    <w:link w:val="Ttulo3"/>
    <w:rsid w:val="008815EB"/>
    <w:rPr>
      <w:rFonts w:ascii="Times New Roman" w:eastAsia="Times New Roman" w:hAnsi="Times New Roman" w:cs="Times New Roman"/>
      <w:sz w:val="24"/>
      <w:szCs w:val="24"/>
      <w:u w:val="single"/>
      <w:lang w:eastAsia="ar-SA"/>
    </w:rPr>
  </w:style>
  <w:style w:type="paragraph" w:styleId="PargrafodaLista">
    <w:name w:val="List Paragraph"/>
    <w:basedOn w:val="Normal"/>
    <w:qFormat/>
    <w:rsid w:val="008815EB"/>
    <w:pPr>
      <w:spacing w:after="120"/>
      <w:jc w:val="both"/>
    </w:pPr>
    <w:rPr>
      <w:rFonts w:cs="Arial"/>
      <w:sz w:val="24"/>
      <w:szCs w:val="24"/>
    </w:rPr>
  </w:style>
  <w:style w:type="character" w:styleId="Refdecomentrio">
    <w:name w:val="annotation reference"/>
    <w:uiPriority w:val="99"/>
    <w:semiHidden/>
    <w:unhideWhenUsed/>
    <w:rsid w:val="008815EB"/>
    <w:rPr>
      <w:sz w:val="16"/>
      <w:szCs w:val="16"/>
    </w:rPr>
  </w:style>
  <w:style w:type="paragraph" w:styleId="Textodecomentrio">
    <w:name w:val="annotation text"/>
    <w:basedOn w:val="Normal"/>
    <w:link w:val="TextodecomentrioChar"/>
    <w:uiPriority w:val="99"/>
    <w:semiHidden/>
    <w:unhideWhenUsed/>
    <w:rsid w:val="008815EB"/>
    <w:rPr>
      <w:sz w:val="20"/>
    </w:rPr>
  </w:style>
  <w:style w:type="character" w:customStyle="1" w:styleId="TextodecomentrioChar">
    <w:name w:val="Texto de comentário Char"/>
    <w:basedOn w:val="Fontepargpadro"/>
    <w:link w:val="Textodecomentrio"/>
    <w:uiPriority w:val="99"/>
    <w:semiHidden/>
    <w:rsid w:val="008815EB"/>
    <w:rPr>
      <w:rFonts w:ascii="Arial" w:eastAsia="Times New Roman" w:hAnsi="Arial" w:cs="Times New Roman"/>
      <w:sz w:val="20"/>
      <w:szCs w:val="20"/>
      <w:lang w:eastAsia="ar-SA"/>
    </w:rPr>
  </w:style>
  <w:style w:type="paragraph" w:styleId="Cabealho">
    <w:name w:val="header"/>
    <w:basedOn w:val="Normal"/>
    <w:link w:val="CabealhoChar"/>
    <w:uiPriority w:val="99"/>
    <w:unhideWhenUsed/>
    <w:rsid w:val="008815EB"/>
    <w:pPr>
      <w:tabs>
        <w:tab w:val="center" w:pos="4252"/>
        <w:tab w:val="right" w:pos="8504"/>
      </w:tabs>
    </w:pPr>
  </w:style>
  <w:style w:type="character" w:customStyle="1" w:styleId="CabealhoChar">
    <w:name w:val="Cabeçalho Char"/>
    <w:basedOn w:val="Fontepargpadro"/>
    <w:link w:val="Cabealho"/>
    <w:uiPriority w:val="99"/>
    <w:rsid w:val="008815EB"/>
    <w:rPr>
      <w:rFonts w:ascii="Arial" w:eastAsia="Times New Roman" w:hAnsi="Arial" w:cs="Times New Roman"/>
      <w:sz w:val="18"/>
      <w:szCs w:val="20"/>
      <w:lang w:eastAsia="ar-SA"/>
    </w:rPr>
  </w:style>
  <w:style w:type="paragraph" w:styleId="Rodap">
    <w:name w:val="footer"/>
    <w:basedOn w:val="Normal"/>
    <w:link w:val="RodapChar"/>
    <w:uiPriority w:val="99"/>
    <w:unhideWhenUsed/>
    <w:rsid w:val="008815EB"/>
    <w:pPr>
      <w:tabs>
        <w:tab w:val="center" w:pos="4252"/>
        <w:tab w:val="right" w:pos="8504"/>
      </w:tabs>
    </w:pPr>
  </w:style>
  <w:style w:type="character" w:customStyle="1" w:styleId="RodapChar">
    <w:name w:val="Rodapé Char"/>
    <w:basedOn w:val="Fontepargpadro"/>
    <w:link w:val="Rodap"/>
    <w:uiPriority w:val="99"/>
    <w:rsid w:val="008815EB"/>
    <w:rPr>
      <w:rFonts w:ascii="Arial" w:eastAsia="Times New Roman" w:hAnsi="Arial" w:cs="Times New Roman"/>
      <w:sz w:val="18"/>
      <w:szCs w:val="20"/>
      <w:lang w:eastAsia="ar-SA"/>
    </w:rPr>
  </w:style>
  <w:style w:type="character" w:customStyle="1" w:styleId="Ttulo6Char">
    <w:name w:val="Título 6 Char"/>
    <w:basedOn w:val="Fontepargpadro"/>
    <w:link w:val="Ttulo6"/>
    <w:uiPriority w:val="9"/>
    <w:semiHidden/>
    <w:rsid w:val="008815EB"/>
    <w:rPr>
      <w:rFonts w:asciiTheme="majorHAnsi" w:eastAsiaTheme="majorEastAsia" w:hAnsiTheme="majorHAnsi" w:cstheme="majorBidi"/>
      <w:color w:val="1F4D78" w:themeColor="accent1" w:themeShade="7F"/>
      <w:sz w:val="18"/>
      <w:szCs w:val="20"/>
      <w:lang w:eastAsia="ar-SA"/>
    </w:rPr>
  </w:style>
  <w:style w:type="paragraph" w:customStyle="1" w:styleId="Estilo6">
    <w:name w:val="Estilo6"/>
    <w:basedOn w:val="Normal"/>
    <w:rsid w:val="008815EB"/>
    <w:pPr>
      <w:overflowPunct w:val="0"/>
      <w:autoSpaceDE w:val="0"/>
      <w:spacing w:before="120"/>
      <w:jc w:val="center"/>
      <w:textAlignment w:val="baseline"/>
    </w:pPr>
    <w:rPr>
      <w:b/>
    </w:rPr>
  </w:style>
  <w:style w:type="table" w:styleId="Tabelacomgrade">
    <w:name w:val="Table Grid"/>
    <w:basedOn w:val="Tabelanormal"/>
    <w:uiPriority w:val="39"/>
    <w:rsid w:val="00596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70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C60C9-C9C7-4FD4-B389-A8E446A0D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18</Pages>
  <Words>5556</Words>
  <Characters>30008</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Cassio Giuliani Carvalho</dc:creator>
  <cp:keywords/>
  <dc:description/>
  <cp:lastModifiedBy>Cassio Giuliani Carvalho</cp:lastModifiedBy>
  <cp:revision>21</cp:revision>
  <dcterms:created xsi:type="dcterms:W3CDTF">2017-11-06T15:20:00Z</dcterms:created>
  <dcterms:modified xsi:type="dcterms:W3CDTF">2017-11-06T19:46:00Z</dcterms:modified>
</cp:coreProperties>
</file>